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2FD3EA9C" w:rsidR="007A5B38" w:rsidRPr="000C5734" w:rsidRDefault="000C5734" w:rsidP="007A5B38">
      <w:pPr>
        <w:pStyle w:val="3GPPHeader"/>
        <w:rPr>
          <w:highlight w:val="yellow"/>
        </w:rPr>
      </w:pPr>
      <w:r w:rsidRPr="000C5734">
        <w:t xml:space="preserve">3GPP TSG RAN WG1 Meeting </w:t>
      </w:r>
      <w:r w:rsidR="0070615A">
        <w:t>#92</w:t>
      </w:r>
      <w:r w:rsidR="00890AB5">
        <w:t>bis</w:t>
      </w:r>
      <w:r w:rsidR="007A5B38" w:rsidRPr="000C5734">
        <w:tab/>
      </w:r>
      <w:r w:rsidR="0070615A" w:rsidRPr="002A7E87">
        <w:t>R1-</w:t>
      </w:r>
      <w:r w:rsidR="00551BC0" w:rsidRPr="002A7E87">
        <w:t>1805011</w:t>
      </w:r>
    </w:p>
    <w:p w14:paraId="161050DA" w14:textId="4CEA0479" w:rsidR="007A5B38" w:rsidRPr="007679B0" w:rsidRDefault="00890AB5" w:rsidP="007A5B38">
      <w:pPr>
        <w:pStyle w:val="3GPPHeader"/>
      </w:pPr>
      <w:r>
        <w:t>Sanya</w:t>
      </w:r>
      <w:r w:rsidRPr="000C5734">
        <w:t>,</w:t>
      </w:r>
      <w:r>
        <w:t xml:space="preserve"> China,</w:t>
      </w:r>
      <w:r w:rsidRPr="000C5734">
        <w:t xml:space="preserve"> </w:t>
      </w:r>
      <w:r>
        <w:t>16</w:t>
      </w:r>
      <w:r w:rsidRPr="00E90812">
        <w:rPr>
          <w:vertAlign w:val="superscript"/>
        </w:rPr>
        <w:t>th</w:t>
      </w:r>
      <w:r w:rsidR="0054355F">
        <w:t xml:space="preserve"> – 20</w:t>
      </w:r>
      <w:r w:rsidR="0054355F" w:rsidRPr="0054355F">
        <w:rPr>
          <w:vertAlign w:val="superscript"/>
        </w:rPr>
        <w:t>th</w:t>
      </w:r>
      <w:r w:rsidR="0054355F">
        <w:t xml:space="preserve"> </w:t>
      </w:r>
      <w:r>
        <w:t>April</w:t>
      </w:r>
      <w:r w:rsidR="0054355F">
        <w:t>,</w:t>
      </w:r>
      <w:r w:rsidRPr="000C5734">
        <w:t xml:space="preserve"> 2</w:t>
      </w:r>
      <w:r w:rsidR="000C5734" w:rsidRPr="000C5734">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3A305DB" w:rsidR="00E90E49" w:rsidRPr="00327997" w:rsidRDefault="003D3C45" w:rsidP="00327997">
      <w:pPr>
        <w:pStyle w:val="3GPPHeader"/>
      </w:pPr>
      <w:r w:rsidRPr="00327997">
        <w:t>Title:</w:t>
      </w:r>
      <w:r w:rsidR="00E90E49" w:rsidRPr="00327997">
        <w:tab/>
      </w:r>
      <w:r w:rsidR="00F559C7" w:rsidRPr="00F559C7">
        <w:t>Physical layer procedures for NR unlicensed operation</w:t>
      </w:r>
    </w:p>
    <w:p w14:paraId="30A5B1DB" w14:textId="3BDF13C5" w:rsidR="00F559C7" w:rsidRPr="00F559C7" w:rsidRDefault="00952A24" w:rsidP="00327997">
      <w:pPr>
        <w:pStyle w:val="3GPPHeader"/>
        <w:rPr>
          <w:highlight w:val="yellow"/>
        </w:rPr>
      </w:pPr>
      <w:r w:rsidRPr="00327997">
        <w:t>Agenda Item:</w:t>
      </w:r>
      <w:r w:rsidRPr="00327997">
        <w:tab/>
      </w:r>
      <w:r w:rsidR="00F559C7">
        <w:t>7.6.4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EC6DE1D" w14:textId="77777777" w:rsidR="00FD11F7" w:rsidRDefault="00FD11F7" w:rsidP="00FD11F7">
      <w:pPr>
        <w:pStyle w:val="BodyText"/>
      </w:pPr>
      <w:bookmarkStart w:id="0" w:name="_Ref178064866"/>
      <w:r>
        <w:t xml:space="preserve">In order to efficiently utilize the large amounts of unlicensed spectrum available worldwide, both licensed operation and unlicensed operation are considered for NR. At RAN-75, a study </w:t>
      </w:r>
      <w:bookmarkStart w:id="1" w:name="_GoBack"/>
      <w:bookmarkEnd w:id="1"/>
      <w:r>
        <w:t xml:space="preserve">item on NR-based Access to Unlicensed Spectrum was approved </w:t>
      </w:r>
      <w:r>
        <w:fldChar w:fldCharType="begin"/>
      </w:r>
      <w:r>
        <w:instrText xml:space="preserve"> REF _Ref481486326 \r \h </w:instrText>
      </w:r>
      <w:r>
        <w:fldChar w:fldCharType="separate"/>
      </w:r>
      <w:r>
        <w:t>[1]</w:t>
      </w:r>
      <w:r>
        <w:fldChar w:fldCharType="end"/>
      </w:r>
      <w:r>
        <w:t>. One objective is to:</w:t>
      </w:r>
    </w:p>
    <w:p w14:paraId="6E43C68B" w14:textId="77777777" w:rsidR="00FD11F7" w:rsidRPr="00250E48" w:rsidRDefault="00FD11F7" w:rsidP="00FD11F7">
      <w:pPr>
        <w:numPr>
          <w:ilvl w:val="0"/>
          <w:numId w:val="16"/>
        </w:numPr>
        <w:rPr>
          <w:bCs/>
          <w:i/>
        </w:rPr>
      </w:pPr>
      <w:r w:rsidRPr="00250E48">
        <w:rPr>
          <w:bCs/>
          <w:i/>
        </w:rPr>
        <w:t xml:space="preserve">Study NR-based operation in unlicensed spectrum (RAN1, RAN2, RAN4) including </w:t>
      </w:r>
    </w:p>
    <w:p w14:paraId="3924A255" w14:textId="77777777" w:rsidR="00FD11F7" w:rsidRPr="00250E48" w:rsidRDefault="00FD11F7" w:rsidP="00FD11F7">
      <w:pPr>
        <w:numPr>
          <w:ilvl w:val="1"/>
          <w:numId w:val="17"/>
        </w:numPr>
        <w:rPr>
          <w:bCs/>
          <w:i/>
        </w:rPr>
      </w:pPr>
      <w:r w:rsidRPr="00250E48">
        <w:rPr>
          <w:bCs/>
          <w:i/>
        </w:rPr>
        <w:t>Physical channels inheriting the choices of duplex mode, waveform, carrier bandwidth, subcarrier spacing, frame structure, and physical layer design made as part of the NR study and avoiding unnecessary divergence with decisions made in the NR WI</w:t>
      </w:r>
    </w:p>
    <w:p w14:paraId="4D7456A4" w14:textId="77777777" w:rsidR="00FD11F7" w:rsidRPr="00250E48" w:rsidRDefault="00FD11F7" w:rsidP="00FD11F7">
      <w:pPr>
        <w:numPr>
          <w:ilvl w:val="2"/>
          <w:numId w:val="17"/>
        </w:numPr>
        <w:rPr>
          <w:bCs/>
          <w:i/>
        </w:rPr>
      </w:pPr>
      <w:r w:rsidRPr="00250E48">
        <w:rPr>
          <w:bCs/>
          <w:i/>
        </w:rPr>
        <w:t>Consider unlicensed bands both below and above 6GHz, up to 52.6GHz</w:t>
      </w:r>
    </w:p>
    <w:p w14:paraId="032CC186" w14:textId="77777777" w:rsidR="00FD11F7" w:rsidRPr="00250E48" w:rsidRDefault="00FD11F7" w:rsidP="00FD11F7">
      <w:pPr>
        <w:numPr>
          <w:ilvl w:val="2"/>
          <w:numId w:val="17"/>
        </w:numPr>
        <w:rPr>
          <w:bCs/>
          <w:i/>
        </w:rPr>
      </w:pPr>
      <w:r w:rsidRPr="00250E48">
        <w:rPr>
          <w:bCs/>
          <w:i/>
        </w:rPr>
        <w:t xml:space="preserve">Consider unlicensed bands above 52.6GHz to the extent that waveform design principles remain unchanged with respect to below 52.6GHz bands </w:t>
      </w:r>
    </w:p>
    <w:p w14:paraId="6708F364" w14:textId="77777777" w:rsidR="00FD11F7" w:rsidRPr="00250E48" w:rsidRDefault="00FD11F7" w:rsidP="00FD11F7">
      <w:pPr>
        <w:numPr>
          <w:ilvl w:val="2"/>
          <w:numId w:val="17"/>
        </w:numPr>
        <w:rPr>
          <w:bCs/>
          <w:i/>
        </w:rPr>
      </w:pPr>
      <w:r w:rsidRPr="00250E48">
        <w:rPr>
          <w:bCs/>
          <w:i/>
        </w:rPr>
        <w:t xml:space="preserve">Consider similar forward compatibility principles made in the NR WI </w:t>
      </w:r>
    </w:p>
    <w:p w14:paraId="5D6E28A2" w14:textId="77777777" w:rsidR="00FD11F7" w:rsidRPr="00250E48" w:rsidRDefault="00FD11F7" w:rsidP="00FD11F7">
      <w:pPr>
        <w:numPr>
          <w:ilvl w:val="1"/>
          <w:numId w:val="17"/>
        </w:numPr>
        <w:rPr>
          <w:bCs/>
          <w:i/>
        </w:rPr>
      </w:pPr>
      <w:r w:rsidRPr="00250E48">
        <w:rPr>
          <w:bCs/>
          <w:i/>
        </w:rPr>
        <w:t>Initial access, channel access. Scheduling/HARQ, and mobility including connected/inactive/idle mode operation and radio-link monitoring/failure</w:t>
      </w:r>
    </w:p>
    <w:p w14:paraId="6619AF82" w14:textId="77777777" w:rsidR="00FD11F7" w:rsidRPr="00250E48" w:rsidRDefault="00FD11F7" w:rsidP="00FD11F7">
      <w:pPr>
        <w:numPr>
          <w:ilvl w:val="1"/>
          <w:numId w:val="17"/>
        </w:numPr>
        <w:rPr>
          <w:bCs/>
          <w:i/>
        </w:rPr>
      </w:pPr>
      <w:r w:rsidRPr="00250E48">
        <w:rPr>
          <w:bCs/>
          <w:i/>
        </w:rPr>
        <w:t xml:space="preserve">Coexistence methods within NR-based and between NR-based operation in unlicensed and LTE-based LAA and with other incumbent RATs in accordance with regulatory requirements in e.g., 5GHz , 37GHz, 60GHz bands </w:t>
      </w:r>
    </w:p>
    <w:p w14:paraId="026EF435" w14:textId="77777777" w:rsidR="00FD11F7" w:rsidRPr="00250E48" w:rsidRDefault="00FD11F7" w:rsidP="00FD11F7">
      <w:pPr>
        <w:numPr>
          <w:ilvl w:val="2"/>
          <w:numId w:val="17"/>
        </w:numPr>
        <w:rPr>
          <w:bCs/>
          <w:i/>
        </w:rPr>
      </w:pPr>
      <w:r w:rsidRPr="00250E48">
        <w:rPr>
          <w:bCs/>
          <w:i/>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759B50E5" w14:textId="48BD0BAD" w:rsidR="00FD11F7" w:rsidRDefault="00FD11F7" w:rsidP="00FD11F7">
      <w:pPr>
        <w:pStyle w:val="BodyText"/>
        <w:spacing w:before="120"/>
      </w:pPr>
      <w:r>
        <w:t xml:space="preserve">In this contribution we discuss physical layer procedures to fulfil these study item objectives. </w:t>
      </w:r>
    </w:p>
    <w:p w14:paraId="3CB8F8BC" w14:textId="2E04A0C2" w:rsidR="004000E8" w:rsidRDefault="004000E8" w:rsidP="00CE0424">
      <w:pPr>
        <w:pStyle w:val="Heading1"/>
      </w:pPr>
      <w:r w:rsidRPr="00CE0424">
        <w:t>Discussion</w:t>
      </w:r>
      <w:bookmarkEnd w:id="0"/>
    </w:p>
    <w:p w14:paraId="7BF72A9C" w14:textId="56889027" w:rsidR="000947B8" w:rsidRDefault="000947B8" w:rsidP="000947B8">
      <w:pPr>
        <w:pStyle w:val="Heading2"/>
      </w:pPr>
      <w:r>
        <w:t>PRACH Procedure</w:t>
      </w:r>
    </w:p>
    <w:p w14:paraId="4072AD80" w14:textId="12D650C7" w:rsidR="002135A7" w:rsidRPr="0028612B" w:rsidRDefault="002135A7" w:rsidP="002135A7">
      <w:pPr>
        <w:pStyle w:val="BodyText"/>
      </w:pPr>
      <w:r w:rsidRPr="0028612B">
        <w:t xml:space="preserve">Support for PRACH for NR-U is relevant not only for the stand-alone scenario, but also for dual connectivity scenarios (NR-U + LTE and NR-U + NR). In Rel-15 NR, a 4-step RACH procedure similar to </w:t>
      </w:r>
      <w:r w:rsidR="000859B9" w:rsidRPr="0028612B">
        <w:t xml:space="preserve">the </w:t>
      </w:r>
      <w:r w:rsidRPr="0028612B">
        <w:t xml:space="preserve">LTE initial access procedure is specified. For unlicensed operation, </w:t>
      </w:r>
      <w:r w:rsidR="000859B9" w:rsidRPr="0028612B">
        <w:t xml:space="preserve">a </w:t>
      </w:r>
      <w:r w:rsidRPr="0028612B">
        <w:t>four-step procedure for initial network access implies that up to four independent LBT procedures need to be performed, two by the UE</w:t>
      </w:r>
      <w:r w:rsidR="000859B9" w:rsidRPr="0028612B">
        <w:t>,</w:t>
      </w:r>
      <w:r w:rsidRPr="0028612B">
        <w:t xml:space="preserve"> and two by the </w:t>
      </w:r>
      <w:r w:rsidR="000859B9" w:rsidRPr="0028612B">
        <w:t>g</w:t>
      </w:r>
      <w:r w:rsidRPr="0028612B">
        <w:t xml:space="preserve">NB. This can significantly increase the delay in connecting to the network and reduce the competitiveness of NR-U compared to other technologies. Therefore, it is recommended that the initial access is completed in two steps. </w:t>
      </w:r>
    </w:p>
    <w:p w14:paraId="0A76EC95" w14:textId="637DF79A" w:rsidR="002135A7" w:rsidRPr="0028612B" w:rsidRDefault="000859B9" w:rsidP="002135A7">
      <w:pPr>
        <w:pStyle w:val="Proposal"/>
      </w:pPr>
      <w:bookmarkStart w:id="2" w:name="_Toc506553719"/>
      <w:bookmarkStart w:id="3" w:name="_Toc510453666"/>
      <w:bookmarkStart w:id="4" w:name="_Toc510454534"/>
      <w:bookmarkStart w:id="5" w:name="_Toc510732571"/>
      <w:r w:rsidRPr="0028612B">
        <w:t>For NR-U, s</w:t>
      </w:r>
      <w:r w:rsidR="002135A7" w:rsidRPr="0028612B">
        <w:t>pecify support for RACH for both standalone and non-standalone</w:t>
      </w:r>
      <w:r w:rsidRPr="0028612B">
        <w:t xml:space="preserve"> (dual-connectivity)</w:t>
      </w:r>
      <w:bookmarkEnd w:id="2"/>
      <w:r w:rsidRPr="0028612B">
        <w:t xml:space="preserve"> scenarios.</w:t>
      </w:r>
      <w:bookmarkEnd w:id="3"/>
      <w:bookmarkEnd w:id="4"/>
      <w:bookmarkEnd w:id="5"/>
    </w:p>
    <w:p w14:paraId="0F5EC4E2" w14:textId="4D7EC19D" w:rsidR="002135A7" w:rsidRPr="0028612B" w:rsidRDefault="007B76C7" w:rsidP="002135A7">
      <w:pPr>
        <w:pStyle w:val="Proposal"/>
      </w:pPr>
      <w:bookmarkStart w:id="6" w:name="_Toc506553720"/>
      <w:bookmarkStart w:id="7" w:name="_Toc510453667"/>
      <w:bookmarkStart w:id="8" w:name="_Toc510454535"/>
      <w:bookmarkStart w:id="9" w:name="_Toc510732572"/>
      <w:r w:rsidRPr="0028612B">
        <w:t>In order to support faster initial access for NR-U</w:t>
      </w:r>
      <w:r w:rsidR="000859B9" w:rsidRPr="0028612B">
        <w:t>, s</w:t>
      </w:r>
      <w:r w:rsidR="002135A7" w:rsidRPr="0028612B">
        <w:t xml:space="preserve">upport </w:t>
      </w:r>
      <w:r w:rsidRPr="0028612B">
        <w:t>a 2-step</w:t>
      </w:r>
      <w:r w:rsidR="002135A7" w:rsidRPr="0028612B">
        <w:t xml:space="preserve"> RACH procedure.</w:t>
      </w:r>
      <w:bookmarkEnd w:id="6"/>
      <w:bookmarkEnd w:id="7"/>
      <w:bookmarkEnd w:id="8"/>
      <w:bookmarkEnd w:id="9"/>
    </w:p>
    <w:p w14:paraId="500F08E7" w14:textId="77777777" w:rsidR="002135A7" w:rsidRPr="0028612B" w:rsidRDefault="002135A7" w:rsidP="002135A7"/>
    <w:p w14:paraId="7C4FA335" w14:textId="289178DB" w:rsidR="000947B8" w:rsidRDefault="000947B8" w:rsidP="000947B8">
      <w:pPr>
        <w:pStyle w:val="Heading2"/>
      </w:pPr>
      <w:r>
        <w:lastRenderedPageBreak/>
        <w:t>Autonomous Uplink Transmissions</w:t>
      </w:r>
    </w:p>
    <w:p w14:paraId="5DDE200B" w14:textId="39633343" w:rsidR="007B76C7" w:rsidRPr="007B76C7" w:rsidRDefault="007B76C7" w:rsidP="007B76C7">
      <w:pPr>
        <w:pStyle w:val="BodyText"/>
      </w:pPr>
      <w:r w:rsidRPr="007B76C7">
        <w:t xml:space="preserve">In some scenarios, latency can be reduced if a data message can be sent on </w:t>
      </w:r>
      <w:r w:rsidR="002B2767">
        <w:t>a</w:t>
      </w:r>
      <w:r w:rsidRPr="007B76C7">
        <w:t xml:space="preserve"> semi-persistently allocated resource. NR provides the option to preconfigure resources in a </w:t>
      </w:r>
      <w:r w:rsidR="0028612B">
        <w:t>such a manner</w:t>
      </w:r>
      <w:r w:rsidRPr="007B76C7">
        <w:t xml:space="preserve">. With semi-persistent scheduling for UL, the UE is configured to transmit on pre-allocated resources. </w:t>
      </w:r>
      <w:r w:rsidR="0028612B">
        <w:t>W</w:t>
      </w:r>
      <w:r w:rsidRPr="007B76C7">
        <w:t xml:space="preserve">hen UL data arrives, the UE can start transmission immediately according to the configured resources without the need to send an SR or waiting for </w:t>
      </w:r>
      <w:r w:rsidR="0028612B">
        <w:t>an</w:t>
      </w:r>
      <w:r w:rsidRPr="007B76C7">
        <w:t xml:space="preserve"> </w:t>
      </w:r>
      <w:r w:rsidR="0028612B">
        <w:t xml:space="preserve">UL </w:t>
      </w:r>
      <w:r w:rsidRPr="007B76C7">
        <w:t xml:space="preserve">grant. Further details on motivation and design of </w:t>
      </w:r>
      <w:r w:rsidR="0028612B">
        <w:t>autonomous UL (</w:t>
      </w:r>
      <w:r w:rsidRPr="007B76C7">
        <w:t>AUL</w:t>
      </w:r>
      <w:r w:rsidR="0028612B">
        <w:t>)</w:t>
      </w:r>
      <w:r w:rsidRPr="007B76C7">
        <w:t xml:space="preserve"> NR-U are available in our companion paper </w:t>
      </w:r>
      <w:r w:rsidR="0028612B">
        <w:fldChar w:fldCharType="begin"/>
      </w:r>
      <w:r w:rsidR="0028612B">
        <w:instrText xml:space="preserve"> REF _Ref510454260 \r \h </w:instrText>
      </w:r>
      <w:r w:rsidR="0028612B">
        <w:fldChar w:fldCharType="separate"/>
      </w:r>
      <w:r w:rsidR="0028612B">
        <w:t>[3]</w:t>
      </w:r>
      <w:r w:rsidR="0028612B">
        <w:fldChar w:fldCharType="end"/>
      </w:r>
      <w:r w:rsidR="0028612B">
        <w:t>.</w:t>
      </w:r>
    </w:p>
    <w:p w14:paraId="2D802D2C" w14:textId="6DE5EC14" w:rsidR="007B76C7" w:rsidRPr="007B76C7" w:rsidRDefault="0028612B" w:rsidP="007B76C7">
      <w:pPr>
        <w:pStyle w:val="Proposal"/>
      </w:pPr>
      <w:bookmarkStart w:id="10" w:name="_Toc506553715"/>
      <w:bookmarkStart w:id="11" w:name="_Toc510453668"/>
      <w:bookmarkStart w:id="12" w:name="_Toc510454536"/>
      <w:bookmarkStart w:id="13" w:name="_Toc510732573"/>
      <w:r>
        <w:t>S</w:t>
      </w:r>
      <w:r w:rsidR="007B76C7" w:rsidRPr="007B76C7">
        <w:t xml:space="preserve">upport autonomous uplink data transmissions on pre-allocated resources on NR-U </w:t>
      </w:r>
      <w:r>
        <w:t>c</w:t>
      </w:r>
      <w:r w:rsidR="007B76C7" w:rsidRPr="007B76C7">
        <w:t>ells to reduce signaling overhead and latency.</w:t>
      </w:r>
      <w:bookmarkEnd w:id="10"/>
      <w:bookmarkEnd w:id="11"/>
      <w:bookmarkEnd w:id="12"/>
      <w:bookmarkEnd w:id="13"/>
    </w:p>
    <w:p w14:paraId="2951CF65" w14:textId="1E2F6EAB" w:rsidR="007B76C7" w:rsidRDefault="007B76C7" w:rsidP="007B76C7">
      <w:pPr>
        <w:pStyle w:val="BodyText"/>
      </w:pPr>
      <w:r w:rsidRPr="007B76C7">
        <w:t xml:space="preserve">AUL NR-U can benefit from the </w:t>
      </w:r>
      <w:r w:rsidR="0028612B">
        <w:t xml:space="preserve">following </w:t>
      </w:r>
      <w:r w:rsidRPr="007B76C7">
        <w:t>adjustments that were introduced for AUL feLAA to provide efficient operation on unlicensed bands:</w:t>
      </w:r>
    </w:p>
    <w:p w14:paraId="01B5A89E" w14:textId="77777777" w:rsidR="0028612B" w:rsidRDefault="0028612B" w:rsidP="0028612B">
      <w:pPr>
        <w:pStyle w:val="BodyText"/>
        <w:numPr>
          <w:ilvl w:val="0"/>
          <w:numId w:val="16"/>
        </w:numPr>
      </w:pPr>
      <w:r>
        <w:t>New uplink control information (UCI) is introduced to enable fully asynchronous HARQ that is not based on associated HARQ IDs to the slot index</w:t>
      </w:r>
    </w:p>
    <w:p w14:paraId="62FECEDF" w14:textId="50372210" w:rsidR="007B76C7" w:rsidRDefault="0028612B" w:rsidP="0028612B">
      <w:pPr>
        <w:pStyle w:val="BodyText"/>
        <w:numPr>
          <w:ilvl w:val="0"/>
          <w:numId w:val="16"/>
        </w:numPr>
      </w:pPr>
      <w:r>
        <w:t xml:space="preserve">New format for the downlink feedback information that enables carrying </w:t>
      </w:r>
      <w:r w:rsidRPr="007B76C7">
        <w:t xml:space="preserve">pending HARQ feedback for </w:t>
      </w:r>
      <w:r>
        <w:t>multiple</w:t>
      </w:r>
      <w:r w:rsidRPr="007B76C7">
        <w:t xml:space="preserve"> uplink transmissions from the same UE to reduce the </w:t>
      </w:r>
      <w:r>
        <w:t>signaling</w:t>
      </w:r>
      <w:r w:rsidRPr="007B76C7">
        <w:t xml:space="preserve"> overhead on unlicensed operation</w:t>
      </w:r>
    </w:p>
    <w:p w14:paraId="039E43AE" w14:textId="48095E50" w:rsidR="0028612B" w:rsidRPr="0028612B" w:rsidRDefault="0028612B" w:rsidP="0028612B">
      <w:pPr>
        <w:pStyle w:val="BodyText"/>
      </w:pPr>
      <w:r>
        <w:t>Based on this we propose the following:</w:t>
      </w:r>
    </w:p>
    <w:p w14:paraId="64532617" w14:textId="501479CB" w:rsidR="007B76C7" w:rsidRPr="007B76C7" w:rsidRDefault="007B76C7" w:rsidP="007B76C7">
      <w:pPr>
        <w:pStyle w:val="Proposal"/>
      </w:pPr>
      <w:bookmarkStart w:id="14" w:name="_Toc506553716"/>
      <w:bookmarkStart w:id="15" w:name="_Toc510453669"/>
      <w:bookmarkStart w:id="16" w:name="_Toc510454537"/>
      <w:bookmarkStart w:id="17" w:name="_Toc510732574"/>
      <w:r w:rsidRPr="007B76C7">
        <w:t>The autonomous UL functionality for NR-U can be achieved by using Type 1 and Type 2 configured UL specified in NR Rel-15 with some additional enhancements</w:t>
      </w:r>
      <w:bookmarkEnd w:id="14"/>
      <w:bookmarkEnd w:id="15"/>
      <w:r w:rsidR="0028612B">
        <w:t>:</w:t>
      </w:r>
      <w:bookmarkEnd w:id="16"/>
      <w:bookmarkEnd w:id="17"/>
    </w:p>
    <w:p w14:paraId="64E91B77" w14:textId="625569EC" w:rsidR="007B76C7" w:rsidRPr="007B76C7" w:rsidRDefault="007B76C7" w:rsidP="0028612B">
      <w:pPr>
        <w:pStyle w:val="Proposal"/>
        <w:numPr>
          <w:ilvl w:val="1"/>
          <w:numId w:val="3"/>
        </w:numPr>
        <w:tabs>
          <w:tab w:val="clear" w:pos="1440"/>
        </w:tabs>
        <w:ind w:left="2160" w:hanging="450"/>
      </w:pPr>
      <w:bookmarkStart w:id="18" w:name="_Toc494399775"/>
      <w:bookmarkStart w:id="19" w:name="_Toc494361440"/>
      <w:bookmarkStart w:id="20" w:name="_Toc494361082"/>
      <w:bookmarkStart w:id="21" w:name="_Toc494360854"/>
      <w:bookmarkStart w:id="22" w:name="_Toc494315336"/>
      <w:bookmarkStart w:id="23" w:name="_Toc494306674"/>
      <w:bookmarkStart w:id="24" w:name="_Toc494306660"/>
      <w:bookmarkStart w:id="25" w:name="_Toc494304830"/>
      <w:bookmarkStart w:id="26" w:name="_Toc494298423"/>
      <w:bookmarkStart w:id="27" w:name="_Toc494298059"/>
      <w:bookmarkStart w:id="28" w:name="_Toc494298045"/>
      <w:bookmarkStart w:id="29" w:name="_Ref494294009"/>
      <w:bookmarkStart w:id="30" w:name="_Ref494293748"/>
      <w:bookmarkStart w:id="31" w:name="_Toc490233207"/>
      <w:bookmarkStart w:id="32" w:name="_Toc490152750"/>
      <w:bookmarkStart w:id="33" w:name="_Toc506553717"/>
      <w:bookmarkStart w:id="34" w:name="_Toc510453670"/>
      <w:bookmarkStart w:id="35" w:name="_Toc510454538"/>
      <w:bookmarkStart w:id="36" w:name="_Toc510732575"/>
      <w:r w:rsidRPr="007B76C7">
        <w:t>For NR autonomous UL access, asynchronous HARQ should be supported whereby the HARQ ID associated with a TB is not tied to the slot index.</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FD64199" w14:textId="73E079E6" w:rsidR="00244731" w:rsidRPr="00244731" w:rsidRDefault="007B76C7" w:rsidP="00244731">
      <w:pPr>
        <w:pStyle w:val="Proposal"/>
        <w:numPr>
          <w:ilvl w:val="1"/>
          <w:numId w:val="3"/>
        </w:numPr>
        <w:tabs>
          <w:tab w:val="clear" w:pos="1440"/>
        </w:tabs>
        <w:ind w:left="2160" w:hanging="450"/>
      </w:pPr>
      <w:bookmarkStart w:id="37" w:name="_Toc506553718"/>
      <w:bookmarkStart w:id="38" w:name="_Toc510453671"/>
      <w:bookmarkStart w:id="39" w:name="_Toc510454539"/>
      <w:bookmarkStart w:id="40" w:name="_Toc510732576"/>
      <w:r w:rsidRPr="007B76C7">
        <w:t xml:space="preserve">For NR autonomous UL access, specify new format for downlink feedback information that enables carrying pending HARQ feedback for </w:t>
      </w:r>
      <w:r w:rsidR="0028612B">
        <w:t>multiple</w:t>
      </w:r>
      <w:r w:rsidRPr="007B76C7">
        <w:t xml:space="preserve"> uplink transmissions from the same UE.</w:t>
      </w:r>
      <w:bookmarkEnd w:id="37"/>
      <w:bookmarkEnd w:id="38"/>
      <w:bookmarkEnd w:id="39"/>
      <w:bookmarkEnd w:id="40"/>
    </w:p>
    <w:p w14:paraId="5510234D" w14:textId="3D31491E" w:rsidR="00A50C87" w:rsidRDefault="006D2CF3" w:rsidP="002A7E87">
      <w:pPr>
        <w:pStyle w:val="Heading2"/>
      </w:pPr>
      <w:r>
        <w:t>Channel Access Aspects</w:t>
      </w:r>
    </w:p>
    <w:p w14:paraId="7BC7E9B4" w14:textId="77777777" w:rsidR="00A50C87" w:rsidRPr="002A7E87" w:rsidRDefault="00A50C87" w:rsidP="00A50C87">
      <w:pPr>
        <w:pStyle w:val="BodyText"/>
        <w:rPr>
          <w:bCs/>
        </w:rPr>
      </w:pPr>
      <w:r w:rsidRPr="002A7E87">
        <w:t xml:space="preserve">It is identified in the Study Item description that the NR-U study </w:t>
      </w:r>
      <w:r w:rsidRPr="002A7E87">
        <w:rPr>
          <w:bCs/>
        </w:rPr>
        <w:t>shall:</w:t>
      </w:r>
    </w:p>
    <w:p w14:paraId="3F5DA377" w14:textId="77777777" w:rsidR="00A50C87" w:rsidRPr="002A7E87" w:rsidRDefault="00A50C87" w:rsidP="00A50C87">
      <w:pPr>
        <w:rPr>
          <w:bCs/>
          <w:i/>
        </w:rPr>
      </w:pPr>
      <w:r w:rsidRPr="002A7E87">
        <w:rPr>
          <w:bCs/>
          <w:i/>
        </w:rPr>
        <w:t>- Allow fair coexistence across RATs and within NR-based systems operating in unlicensed spectrum</w:t>
      </w:r>
    </w:p>
    <w:p w14:paraId="0654D67D" w14:textId="77777777" w:rsidR="00A50C87" w:rsidRPr="002A7E87" w:rsidRDefault="00A50C87" w:rsidP="00A50C87">
      <w:pPr>
        <w:rPr>
          <w:bCs/>
          <w:i/>
        </w:rPr>
      </w:pPr>
      <w:r w:rsidRPr="002A7E87">
        <w:rPr>
          <w:bCs/>
          <w:i/>
        </w:rPr>
        <w:t xml:space="preserve">- Include coexistence methods within NR-based and between NR-based operation in unlicensed and LTE-based LAA and with other incumbent RATs in accordance with regulatory requirements in e.g., 5GHz, 37GHz, 60GHz bands. </w:t>
      </w:r>
    </w:p>
    <w:p w14:paraId="649071BF" w14:textId="68F8B62B" w:rsidR="00A50C87" w:rsidRPr="002A7E87" w:rsidRDefault="00A50C87" w:rsidP="00A50C87">
      <w:pPr>
        <w:pStyle w:val="ListParagraph"/>
        <w:numPr>
          <w:ilvl w:val="0"/>
          <w:numId w:val="21"/>
        </w:numPr>
        <w:spacing w:after="160" w:line="259" w:lineRule="auto"/>
        <w:jc w:val="both"/>
        <w:rPr>
          <w:rFonts w:ascii="Times New Roman" w:hAnsi="Times New Roman"/>
          <w:bCs/>
          <w:i/>
        </w:rPr>
      </w:pPr>
      <w:r w:rsidRPr="002A7E87">
        <w:rPr>
          <w:rFonts w:ascii="Times New Roman" w:hAnsi="Times New Roman"/>
          <w:bCs/>
          <w:i/>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p>
    <w:p w14:paraId="14689FDB" w14:textId="18F857B0" w:rsidR="00A50C87" w:rsidRPr="002A7E87" w:rsidRDefault="00A50C87" w:rsidP="00A50C87">
      <w:r w:rsidRPr="002A7E87">
        <w:t xml:space="preserve">5GHz coexistence mechanisms are mature in regulation aspect and extensively studied in LTE-based LAA WI. Similar channel access principles as those adopted for LTE-based LAA designs can be followed for the NR-U design to enable coexistence with LTE-based LAA and other technologies in this band. These channel access principles have been evaluated and discussed extensively during the LTE-based LAA WI and need not be repeated for the NR-U in this band. </w:t>
      </w:r>
    </w:p>
    <w:p w14:paraId="32507684" w14:textId="77777777" w:rsidR="00A50C87" w:rsidRDefault="00A50C87" w:rsidP="00A50C87">
      <w:r>
        <w:t>Here we give a brief overview of the methods defined for LTE-based LAA and point out some properties of NR that potentially can require modifications of the LTE-based LAA methods</w:t>
      </w:r>
    </w:p>
    <w:p w14:paraId="53DF6AA9" w14:textId="6DEC145E" w:rsidR="00A50C87" w:rsidRDefault="00A50C87" w:rsidP="00A50C87">
      <w:r>
        <w:t>LTE-based LAA defines two basic types of LBT for both DL and UL</w:t>
      </w:r>
      <w:r>
        <w:fldChar w:fldCharType="begin"/>
      </w:r>
      <w:r>
        <w:instrText xml:space="preserve"> REF _Ref510599985 \r \h </w:instrText>
      </w:r>
      <w:r>
        <w:fldChar w:fldCharType="separate"/>
      </w:r>
      <w:r>
        <w:t>[4]</w:t>
      </w:r>
      <w:r>
        <w:fldChar w:fldCharType="end"/>
      </w:r>
      <w:r>
        <w:t xml:space="preserve">. The first one, here referred to as exponential LBT, is described for downlink in §15.1.1 and in §15.2.1.1 for uplink. </w:t>
      </w:r>
      <w:r w:rsidR="00193AB7">
        <w:t>T</w:t>
      </w:r>
      <w:r w:rsidR="005077D7">
        <w:t>he exponential LBT also relies on a contention window adjustment procedure where the contention window is updated based on HARQ feedback.</w:t>
      </w:r>
      <w:r w:rsidR="00193AB7">
        <w:t xml:space="preserve"> </w:t>
      </w:r>
      <w:r>
        <w:t xml:space="preserve">The second one, here referred to as short LBT, is described for downlink in §15.1.2 and for uplink in §15.2.1.2. </w:t>
      </w:r>
    </w:p>
    <w:p w14:paraId="1C033377" w14:textId="7C77D5E8" w:rsidR="005077D7" w:rsidRDefault="005077D7" w:rsidP="00A50C87"/>
    <w:p w14:paraId="2045CB17" w14:textId="1C562590" w:rsidR="00A24A37" w:rsidRDefault="00A233D1" w:rsidP="00A50C87">
      <w:r>
        <w:t xml:space="preserve">In addition to that, LAA supports the concept of a shared </w:t>
      </w:r>
      <w:r w:rsidR="002B220E">
        <w:t>channel occupancy time (</w:t>
      </w:r>
      <w:r>
        <w:t>COT</w:t>
      </w:r>
      <w:r w:rsidR="002B220E">
        <w:t>)</w:t>
      </w:r>
      <w:r>
        <w:t xml:space="preserve">. The Maximum Channel Occupancy Time (MCOT) defines the maximum time allowed to share the channel among an access point and its served nodes and is specified in certain regional regulation. </w:t>
      </w:r>
      <w:r w:rsidR="00193AB7">
        <w:t xml:space="preserve">The </w:t>
      </w:r>
      <w:r>
        <w:t xml:space="preserve">MCOT limit is applicable to Wi-Fi and also adopted by LAA. When a node, referred to as initiating node, initiates a </w:t>
      </w:r>
      <w:r>
        <w:lastRenderedPageBreak/>
        <w:t>channel occupancy by performing an exponential random back-off (also known as CAT4 LBT), it is allowed to share its channel occupancy with other nodes, referred to as responding nodes. Nevertheless, gaps between transmissions of different nodes are allowed. If a gap is within 16 µs, the transmission after the gap can occur without channel sensing. For larger gaps, an LBT based on a clear channel assessment (CCA) of at least 25 µs is required prior to transmission. Most importantly, the rules require that the total channel occupancy by the initiating and responding nodes, i.e. DL and UL transmissions in case of LAA shall not exceed the corresponding MCOT.</w:t>
      </w:r>
    </w:p>
    <w:p w14:paraId="1E0920CD" w14:textId="3D2AF80E" w:rsidR="00A233D1" w:rsidRDefault="00A233D1" w:rsidP="00A233D1">
      <w:pPr>
        <w:pStyle w:val="Proposal"/>
      </w:pPr>
      <w:bookmarkStart w:id="41" w:name="_Toc510732577"/>
      <w:r>
        <w:t>COT sharing between initiating and responding node is supported in NR</w:t>
      </w:r>
      <w:r w:rsidR="00106DC0">
        <w:t>-U</w:t>
      </w:r>
      <w:r>
        <w:t>.</w:t>
      </w:r>
      <w:bookmarkEnd w:id="41"/>
    </w:p>
    <w:p w14:paraId="37334A01" w14:textId="77777777" w:rsidR="00DF4300" w:rsidRDefault="00DF4300" w:rsidP="00DF4300">
      <w:r>
        <w:t xml:space="preserve">For the downlink, the short LBT can be used when the eNB transmits DRS without PDSCH, given that the transmission time is limited to 1 ms. In our companion paper </w:t>
      </w:r>
      <w:r>
        <w:fldChar w:fldCharType="begin"/>
      </w:r>
      <w:r>
        <w:instrText xml:space="preserve"> REF _Ref510607754 \r \h </w:instrText>
      </w:r>
      <w:r>
        <w:fldChar w:fldCharType="separate"/>
      </w:r>
      <w:r>
        <w:t>[5]</w:t>
      </w:r>
      <w:r>
        <w:fldChar w:fldCharType="end"/>
      </w:r>
      <w:r>
        <w:t xml:space="preserve"> we discuss the introduction of a DRS also in NR, Because the deployment scenarios for NR-U are more diverse, e.g. including dual-connectivity and stand-alone operation, it is expected that the NR-DRS would need to contain more information that the Rel-13 DRS. Thus, we make the following proposal:</w:t>
      </w:r>
    </w:p>
    <w:p w14:paraId="45AAC79A" w14:textId="77777777" w:rsidR="00DF4300" w:rsidRPr="007B76C7" w:rsidRDefault="00DF4300" w:rsidP="00DF4300">
      <w:pPr>
        <w:pStyle w:val="Proposal"/>
      </w:pPr>
      <w:bookmarkStart w:id="42" w:name="_Toc510732578"/>
      <w:r>
        <w:t>Study the impacts of new deployment scenarios such as dual-connectivity and stand-alone operation on the rules defined for downlink short LBT.</w:t>
      </w:r>
      <w:bookmarkEnd w:id="42"/>
    </w:p>
    <w:p w14:paraId="40DF5E80" w14:textId="77777777" w:rsidR="005077D7" w:rsidRDefault="005077D7" w:rsidP="005077D7">
      <w:pPr>
        <w:rPr>
          <w:rFonts w:ascii="Arial" w:hAnsi="Arial" w:cs="Arial"/>
        </w:rPr>
      </w:pPr>
      <w:r w:rsidRPr="00AD4AAD">
        <w:t>In NR</w:t>
      </w:r>
      <w:r>
        <w:t>,</w:t>
      </w:r>
      <w:r w:rsidRPr="00AD4AAD">
        <w:t xml:space="preserve"> several enhancements </w:t>
      </w:r>
      <w:r>
        <w:t xml:space="preserve">were made including: smaller processing delays, faster feedback transmission, and new form of HARQ feedback (e.g. code block group-based feedback). These enhancements should be exploited when designing channel access procedures for NR-U. </w:t>
      </w:r>
    </w:p>
    <w:p w14:paraId="7E6D6308" w14:textId="51BE7118" w:rsidR="00A50C87" w:rsidRPr="005077D7" w:rsidRDefault="005077D7" w:rsidP="005077D7">
      <w:pPr>
        <w:pStyle w:val="Proposal"/>
      </w:pPr>
      <w:bookmarkStart w:id="43" w:name="_Toc510732579"/>
      <w:r>
        <w:t>Study the impacts of NR-U enhanced processing delays and HARQ design on the channel access procedure.</w:t>
      </w:r>
      <w:bookmarkEnd w:id="43"/>
      <w:r>
        <w:t xml:space="preserve"> </w:t>
      </w:r>
    </w:p>
    <w:p w14:paraId="1024448E" w14:textId="2BBB05B7" w:rsidR="00816143" w:rsidRPr="00816143" w:rsidRDefault="00816143" w:rsidP="00816143">
      <w:r>
        <w:t xml:space="preserve">A potential new unlicensed low frequency band is 6GHz (5925-6425MHz) that can also be a good candidate for NR-U operation [6]. Since the regulation rules have not been established, 3GPP should study channel access techniques for efficient and technology-neutral unlicensed spectrum sharing for 6 GHz band. The coexistence mechanisms used for 5GHz can be considered as a baseline with some modifications to ensure a technology neutral </w:t>
      </w:r>
      <w:r w:rsidRPr="00816143">
        <w:t xml:space="preserve">spectrum sharing amongst </w:t>
      </w:r>
      <w:r>
        <w:t xml:space="preserve">unlicensed </w:t>
      </w:r>
      <w:r w:rsidRPr="00816143">
        <w:t xml:space="preserve">users of the </w:t>
      </w:r>
      <w:r>
        <w:t xml:space="preserve">6GHz </w:t>
      </w:r>
      <w:r w:rsidRPr="00816143">
        <w:t>band</w:t>
      </w:r>
      <w:r>
        <w:t xml:space="preserve">. Studying the impact of using common energy detection threshold for all technologies would be one example [7]. </w:t>
      </w:r>
    </w:p>
    <w:p w14:paraId="56327F3C" w14:textId="77777777" w:rsidR="00C01F33" w:rsidRPr="00CE0424" w:rsidRDefault="00C01F33" w:rsidP="003A0E41">
      <w:pPr>
        <w:pStyle w:val="Heading1"/>
      </w:pPr>
      <w:r w:rsidRPr="00CE0424">
        <w:t>Conclusion</w:t>
      </w:r>
      <w:r w:rsidR="00AE2FEB">
        <w:t>s</w:t>
      </w:r>
    </w:p>
    <w:p w14:paraId="532314A6" w14:textId="77777777" w:rsidR="00FE1321" w:rsidRDefault="002611E7">
      <w:pPr>
        <w:pStyle w:val="TOC1"/>
      </w:pPr>
      <w:r>
        <w:t xml:space="preserve">We </w:t>
      </w:r>
      <w:r w:rsidR="007B76C7">
        <w:t>made</w:t>
      </w:r>
      <w:r>
        <w:t xml:space="preserve"> the following proposals:</w:t>
      </w:r>
    </w:p>
    <w:p w14:paraId="7F0527FF" w14:textId="0502AFE8" w:rsidR="00F7611C" w:rsidRDefault="0054355F">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F7611C">
        <w:t>Proposal 1</w:t>
      </w:r>
      <w:r w:rsidR="00F7611C">
        <w:rPr>
          <w:rFonts w:asciiTheme="minorHAnsi" w:eastAsiaTheme="minorEastAsia" w:hAnsiTheme="minorHAnsi" w:cstheme="minorBidi"/>
          <w:b w:val="0"/>
          <w:sz w:val="22"/>
          <w:lang w:eastAsia="en-US"/>
        </w:rPr>
        <w:tab/>
      </w:r>
      <w:r w:rsidR="00F7611C">
        <w:t>For NR-U, specify support for RACH for both standalone and non-standalone (dual-connectivity) scenarios.</w:t>
      </w:r>
    </w:p>
    <w:p w14:paraId="03DC4D50" w14:textId="77777777" w:rsidR="00F7611C" w:rsidRDefault="00F7611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 order to support faster initial access for NR-U, support a 2-step RACH procedure.</w:t>
      </w:r>
    </w:p>
    <w:p w14:paraId="358EAA4A" w14:textId="77777777" w:rsidR="00F7611C" w:rsidRDefault="00F7611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Support autonomous uplink data transmissions on pre-allocated resources on NR-U cells to reduce signaling overhead and latency.</w:t>
      </w:r>
    </w:p>
    <w:p w14:paraId="3D27A383" w14:textId="77777777" w:rsidR="00F7611C" w:rsidRDefault="00F7611C">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autonomous UL functionality for NR-U can be achieved by using Type 1 and Type 2 configured UL specified in NR Rel-15 with some additional enhancements:</w:t>
      </w:r>
    </w:p>
    <w:p w14:paraId="34B8AF22" w14:textId="7E0A46B2" w:rsidR="00F7611C" w:rsidRDefault="00F7611C" w:rsidP="002A7E87">
      <w:pPr>
        <w:pStyle w:val="TOC1"/>
        <w:tabs>
          <w:tab w:val="clear" w:pos="1701"/>
          <w:tab w:val="left" w:pos="1710"/>
        </w:tabs>
        <w:ind w:left="1980" w:hanging="270"/>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For NR autonomous UL access, asynchronous HARQ should be supported whereby the HARQ ID associated with a TB is not tied to the slot index.</w:t>
      </w:r>
    </w:p>
    <w:p w14:paraId="2C237D53" w14:textId="77777777" w:rsidR="00F7611C" w:rsidRPr="002A7E87" w:rsidRDefault="00F7611C" w:rsidP="002A7E87">
      <w:pPr>
        <w:pStyle w:val="TOC1"/>
        <w:ind w:left="1980" w:hanging="270"/>
      </w:pPr>
      <w:r>
        <w:t>b.</w:t>
      </w:r>
      <w:r w:rsidRPr="002A7E87">
        <w:tab/>
      </w:r>
      <w:r>
        <w:t>For NR autonomous UL access, specify new format for downlink feedback information that enables carrying pending HARQ feedback for multiple uplink transmissions from the same UE.</w:t>
      </w:r>
    </w:p>
    <w:p w14:paraId="688BA80D" w14:textId="77777777" w:rsidR="00F7611C" w:rsidRDefault="00F7611C">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COT sharing between initiating and responding node is supported in NR-U.</w:t>
      </w:r>
    </w:p>
    <w:p w14:paraId="50BADED3" w14:textId="77777777" w:rsidR="00F7611C" w:rsidRDefault="00F7611C">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Study the impacts of new deployment scenarios such as dual-connectivity and stand-alone operation on the rules defined for downlink short LBT.</w:t>
      </w:r>
    </w:p>
    <w:p w14:paraId="2C033845" w14:textId="77777777" w:rsidR="00F7611C" w:rsidRDefault="00F7611C">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Study the impacts of NR-U enhanced processing delays and HARQ design on the channel access procedure.</w:t>
      </w:r>
    </w:p>
    <w:p w14:paraId="60B357CF" w14:textId="415B99DD" w:rsidR="00C01F33" w:rsidRPr="00790B99" w:rsidRDefault="0054355F" w:rsidP="0054355F">
      <w:pPr>
        <w:pStyle w:val="BodyText"/>
        <w:rPr>
          <w:b/>
          <w:bCs/>
        </w:rPr>
      </w:pPr>
      <w:r>
        <w:rPr>
          <w:b/>
          <w:bCs/>
        </w:rPr>
        <w:fldChar w:fldCharType="end"/>
      </w:r>
    </w:p>
    <w:p w14:paraId="5B3C850D" w14:textId="77777777" w:rsidR="00F507D1" w:rsidRPr="00CE0424" w:rsidRDefault="00F507D1" w:rsidP="00CE0424">
      <w:pPr>
        <w:pStyle w:val="Heading1"/>
      </w:pPr>
      <w:bookmarkStart w:id="44" w:name="_In-sequence_SDU_delivery"/>
      <w:bookmarkEnd w:id="44"/>
      <w:r w:rsidRPr="00CE0424">
        <w:lastRenderedPageBreak/>
        <w:t>References</w:t>
      </w:r>
    </w:p>
    <w:p w14:paraId="44AFD3EC" w14:textId="77777777" w:rsidR="00264C85" w:rsidRDefault="00264C85" w:rsidP="00264C85">
      <w:pPr>
        <w:pStyle w:val="BodyText"/>
        <w:numPr>
          <w:ilvl w:val="0"/>
          <w:numId w:val="18"/>
        </w:numPr>
        <w:rPr>
          <w:szCs w:val="22"/>
          <w:lang w:eastAsia="ja-JP"/>
        </w:rPr>
      </w:pPr>
      <w:bookmarkStart w:id="45" w:name="_Ref479756368"/>
      <w:bookmarkStart w:id="46" w:name="_Ref481486326"/>
      <w:r w:rsidRPr="00F66897">
        <w:rPr>
          <w:szCs w:val="22"/>
        </w:rPr>
        <w:t>RP-172021, “</w:t>
      </w:r>
      <w:r w:rsidRPr="002B03FD">
        <w:rPr>
          <w:szCs w:val="22"/>
        </w:rPr>
        <w:t>New SID on NR-based Access to Unlicensed Spectrum”, Qualcomm</w:t>
      </w:r>
      <w:bookmarkEnd w:id="45"/>
      <w:bookmarkEnd w:id="46"/>
    </w:p>
    <w:p w14:paraId="3BC9304B" w14:textId="0715450E" w:rsidR="003A7EF3" w:rsidRPr="002A7E87" w:rsidRDefault="002135A7" w:rsidP="002135A7">
      <w:pPr>
        <w:pStyle w:val="BodyText"/>
        <w:numPr>
          <w:ilvl w:val="0"/>
          <w:numId w:val="18"/>
        </w:numPr>
        <w:rPr>
          <w:szCs w:val="22"/>
          <w:lang w:eastAsia="ja-JP"/>
        </w:rPr>
      </w:pPr>
      <w:bookmarkStart w:id="47" w:name="_Ref510450761"/>
      <w:r w:rsidRPr="002A7E87">
        <w:rPr>
          <w:szCs w:val="22"/>
          <w:lang w:eastAsia="ja-JP"/>
        </w:rPr>
        <w:t>R1-</w:t>
      </w:r>
      <w:r w:rsidR="00551BC0" w:rsidRPr="002A7E87">
        <w:rPr>
          <w:szCs w:val="22"/>
          <w:lang w:eastAsia="ja-JP"/>
        </w:rPr>
        <w:t>1805017</w:t>
      </w:r>
      <w:r w:rsidRPr="002A7E87">
        <w:rPr>
          <w:szCs w:val="22"/>
          <w:lang w:eastAsia="ja-JP"/>
        </w:rPr>
        <w:t xml:space="preserve">, “On PRACH for NR in unlicensed spectrum,” </w:t>
      </w:r>
      <w:r w:rsidRPr="002A7E87">
        <w:rPr>
          <w:szCs w:val="22"/>
        </w:rPr>
        <w:t>Ericsson, RAN1#92b, April 2018.</w:t>
      </w:r>
      <w:bookmarkEnd w:id="47"/>
    </w:p>
    <w:p w14:paraId="30F546F7" w14:textId="31877AD3" w:rsidR="007B76C7" w:rsidRPr="002A7E87" w:rsidRDefault="007B76C7" w:rsidP="007B76C7">
      <w:pPr>
        <w:pStyle w:val="BodyText"/>
        <w:numPr>
          <w:ilvl w:val="0"/>
          <w:numId w:val="18"/>
        </w:numPr>
        <w:rPr>
          <w:szCs w:val="22"/>
          <w:lang w:eastAsia="ja-JP"/>
        </w:rPr>
      </w:pPr>
      <w:bookmarkStart w:id="48" w:name="_Ref506538833"/>
      <w:bookmarkStart w:id="49" w:name="_Ref510454260"/>
      <w:r w:rsidRPr="002A7E87">
        <w:rPr>
          <w:szCs w:val="22"/>
          <w:lang w:eastAsia="ja-JP"/>
        </w:rPr>
        <w:t>R1-</w:t>
      </w:r>
      <w:r w:rsidR="00551BC0" w:rsidRPr="002A7E87">
        <w:rPr>
          <w:szCs w:val="22"/>
          <w:lang w:eastAsia="ja-JP"/>
        </w:rPr>
        <w:t>1805016</w:t>
      </w:r>
      <w:r w:rsidRPr="002A7E87">
        <w:rPr>
          <w:szCs w:val="22"/>
          <w:lang w:eastAsia="ja-JP"/>
        </w:rPr>
        <w:t>, “On Autonomous UL Transmissions for NR in Unlicensed Spectrum</w:t>
      </w:r>
      <w:bookmarkEnd w:id="48"/>
      <w:r w:rsidRPr="002A7E87">
        <w:rPr>
          <w:szCs w:val="22"/>
          <w:lang w:eastAsia="ja-JP"/>
        </w:rPr>
        <w:t xml:space="preserve">,” </w:t>
      </w:r>
      <w:r w:rsidRPr="002A7E87">
        <w:rPr>
          <w:szCs w:val="22"/>
        </w:rPr>
        <w:t>Ericsson, RAN1#92b, April 2018.</w:t>
      </w:r>
      <w:bookmarkEnd w:id="49"/>
    </w:p>
    <w:p w14:paraId="76BE3361" w14:textId="3F059FD7" w:rsidR="004F53D2" w:rsidRPr="002A7E87" w:rsidRDefault="004F53D2" w:rsidP="004F53D2">
      <w:pPr>
        <w:pStyle w:val="BodyText"/>
        <w:numPr>
          <w:ilvl w:val="0"/>
          <w:numId w:val="18"/>
        </w:numPr>
        <w:rPr>
          <w:szCs w:val="22"/>
          <w:lang w:eastAsia="ja-JP"/>
        </w:rPr>
      </w:pPr>
      <w:bookmarkStart w:id="50" w:name="_Ref510599985"/>
      <w:r w:rsidRPr="002A7E87">
        <w:rPr>
          <w:szCs w:val="22"/>
          <w:lang w:eastAsia="ja-JP"/>
        </w:rPr>
        <w:t>TS 36.213 v15.1.0, “Physical layer procedures”.</w:t>
      </w:r>
      <w:bookmarkEnd w:id="50"/>
    </w:p>
    <w:p w14:paraId="55D1C8BB" w14:textId="2B53EC7C" w:rsidR="00A7380A" w:rsidRPr="002A7E87" w:rsidRDefault="00A7380A" w:rsidP="004F53D2">
      <w:pPr>
        <w:pStyle w:val="BodyText"/>
        <w:numPr>
          <w:ilvl w:val="0"/>
          <w:numId w:val="18"/>
        </w:numPr>
        <w:rPr>
          <w:szCs w:val="22"/>
          <w:lang w:eastAsia="ja-JP"/>
        </w:rPr>
      </w:pPr>
      <w:bookmarkStart w:id="51" w:name="_Ref510607754"/>
      <w:r w:rsidRPr="002A7E87">
        <w:rPr>
          <w:szCs w:val="22"/>
          <w:lang w:eastAsia="ja-JP"/>
        </w:rPr>
        <w:t>R1-18</w:t>
      </w:r>
      <w:r w:rsidR="00551BC0" w:rsidRPr="002A7E87">
        <w:rPr>
          <w:szCs w:val="22"/>
          <w:lang w:eastAsia="ja-JP"/>
        </w:rPr>
        <w:t>05013</w:t>
      </w:r>
      <w:r w:rsidRPr="002A7E87">
        <w:rPr>
          <w:szCs w:val="22"/>
          <w:lang w:eastAsia="ja-JP"/>
        </w:rPr>
        <w:t>, “</w:t>
      </w:r>
      <w:r w:rsidRPr="002A7E87">
        <w:t>On the Introduction of a Discovery Reference Signal”, Ericsson, RAN1#92b, April 2018</w:t>
      </w:r>
      <w:bookmarkEnd w:id="51"/>
    </w:p>
    <w:p w14:paraId="295EB753" w14:textId="01E68CAA" w:rsidR="00193AB7" w:rsidRPr="00A0207D" w:rsidRDefault="00193AB7" w:rsidP="002A7E87">
      <w:pPr>
        <w:pStyle w:val="Reference"/>
        <w:numPr>
          <w:ilvl w:val="0"/>
          <w:numId w:val="18"/>
        </w:numPr>
        <w:spacing w:after="160" w:line="259" w:lineRule="auto"/>
        <w:rPr>
          <w:szCs w:val="22"/>
          <w:lang w:eastAsia="ja-JP"/>
        </w:rPr>
      </w:pPr>
      <w:bookmarkStart w:id="52" w:name="_Ref503254282"/>
      <w:r w:rsidRPr="002A7E87">
        <w:t xml:space="preserve">R1-1802773, </w:t>
      </w:r>
      <w:bookmarkEnd w:id="52"/>
      <w:r w:rsidRPr="002A7E87">
        <w:t>Candidate spectrum for NR unlicensed operation, Ericsson</w:t>
      </w:r>
      <w:r w:rsidR="009B47CB" w:rsidRPr="002A7E87">
        <w:t>, RAN1#92, February 2018</w:t>
      </w:r>
    </w:p>
    <w:p w14:paraId="56B65320" w14:textId="533FECFE" w:rsidR="00A0207D" w:rsidRPr="00A0207D" w:rsidRDefault="00A0207D" w:rsidP="00A0207D">
      <w:pPr>
        <w:pStyle w:val="ListParagraph"/>
        <w:numPr>
          <w:ilvl w:val="0"/>
          <w:numId w:val="18"/>
        </w:numPr>
        <w:rPr>
          <w:sz w:val="24"/>
          <w:lang w:eastAsia="en-GB"/>
        </w:rPr>
      </w:pPr>
      <w:bookmarkStart w:id="53" w:name="_Hlk510804412"/>
      <w:r w:rsidRPr="00A0207D">
        <w:rPr>
          <w:color w:val="000000"/>
          <w:lang w:eastAsia="en-GB"/>
        </w:rPr>
        <w:t>R1-1803035</w:t>
      </w:r>
      <w:r>
        <w:rPr>
          <w:color w:val="000000"/>
          <w:lang w:eastAsia="en-GB"/>
        </w:rPr>
        <w:t xml:space="preserve">, </w:t>
      </w:r>
      <w:r w:rsidRPr="00A0207D">
        <w:t>On Channel Access Study for 6 GHz</w:t>
      </w:r>
      <w:r w:rsidRPr="002A7E87">
        <w:t xml:space="preserve">, </w:t>
      </w:r>
      <w:r w:rsidRPr="00A0207D">
        <w:t>RAN1#92, February 2018</w:t>
      </w:r>
    </w:p>
    <w:bookmarkEnd w:id="53"/>
    <w:p w14:paraId="04AF1959" w14:textId="77777777" w:rsidR="00A0207D" w:rsidRPr="002A7E87" w:rsidRDefault="00A0207D" w:rsidP="00A0207D">
      <w:pPr>
        <w:pStyle w:val="Reference"/>
        <w:numPr>
          <w:ilvl w:val="0"/>
          <w:numId w:val="0"/>
        </w:numPr>
        <w:spacing w:after="160" w:line="259" w:lineRule="auto"/>
        <w:ind w:left="360"/>
        <w:rPr>
          <w:szCs w:val="22"/>
          <w:lang w:eastAsia="ja-JP"/>
        </w:rPr>
      </w:pPr>
    </w:p>
    <w:sectPr w:rsidR="00A0207D" w:rsidRPr="002A7E87"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638D7" w14:textId="77777777" w:rsidR="00606D0C" w:rsidRDefault="00606D0C">
      <w:r>
        <w:separator/>
      </w:r>
    </w:p>
  </w:endnote>
  <w:endnote w:type="continuationSeparator" w:id="0">
    <w:p w14:paraId="3B59B3C0" w14:textId="77777777" w:rsidR="00606D0C" w:rsidRDefault="00606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5EFB6" w14:textId="77777777" w:rsidR="00606D0C" w:rsidRDefault="00606D0C">
      <w:r>
        <w:separator/>
      </w:r>
    </w:p>
  </w:footnote>
  <w:footnote w:type="continuationSeparator" w:id="0">
    <w:p w14:paraId="3D7C6431" w14:textId="77777777" w:rsidR="00606D0C" w:rsidRDefault="00606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FF245DE"/>
    <w:multiLevelType w:val="hybridMultilevel"/>
    <w:tmpl w:val="EAA6A222"/>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29D33492"/>
    <w:multiLevelType w:val="hybridMultilevel"/>
    <w:tmpl w:val="7794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96264A"/>
    <w:multiLevelType w:val="hybridMultilevel"/>
    <w:tmpl w:val="4462CA4E"/>
    <w:lvl w:ilvl="0" w:tplc="13DE715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D54426"/>
    <w:multiLevelType w:val="hybridMultilevel"/>
    <w:tmpl w:val="31EA6CE8"/>
    <w:lvl w:ilvl="0" w:tplc="944A812E">
      <w:start w:val="1"/>
      <w:numFmt w:val="bullet"/>
      <w:lvlText w:val="•"/>
      <w:lvlJc w:val="left"/>
      <w:pPr>
        <w:tabs>
          <w:tab w:val="num" w:pos="720"/>
        </w:tabs>
        <w:ind w:left="720" w:hanging="360"/>
      </w:pPr>
      <w:rPr>
        <w:rFonts w:ascii="Arial" w:hAnsi="Arial" w:hint="default"/>
      </w:rPr>
    </w:lvl>
    <w:lvl w:ilvl="1" w:tplc="61509DDE" w:tentative="1">
      <w:start w:val="1"/>
      <w:numFmt w:val="bullet"/>
      <w:lvlText w:val="•"/>
      <w:lvlJc w:val="left"/>
      <w:pPr>
        <w:tabs>
          <w:tab w:val="num" w:pos="1440"/>
        </w:tabs>
        <w:ind w:left="1440" w:hanging="360"/>
      </w:pPr>
      <w:rPr>
        <w:rFonts w:ascii="Arial" w:hAnsi="Arial" w:hint="default"/>
      </w:rPr>
    </w:lvl>
    <w:lvl w:ilvl="2" w:tplc="E32CB996" w:tentative="1">
      <w:start w:val="1"/>
      <w:numFmt w:val="bullet"/>
      <w:lvlText w:val="•"/>
      <w:lvlJc w:val="left"/>
      <w:pPr>
        <w:tabs>
          <w:tab w:val="num" w:pos="2160"/>
        </w:tabs>
        <w:ind w:left="2160" w:hanging="360"/>
      </w:pPr>
      <w:rPr>
        <w:rFonts w:ascii="Arial" w:hAnsi="Arial" w:hint="default"/>
      </w:rPr>
    </w:lvl>
    <w:lvl w:ilvl="3" w:tplc="2D58FEDC" w:tentative="1">
      <w:start w:val="1"/>
      <w:numFmt w:val="bullet"/>
      <w:lvlText w:val="•"/>
      <w:lvlJc w:val="left"/>
      <w:pPr>
        <w:tabs>
          <w:tab w:val="num" w:pos="2880"/>
        </w:tabs>
        <w:ind w:left="2880" w:hanging="360"/>
      </w:pPr>
      <w:rPr>
        <w:rFonts w:ascii="Arial" w:hAnsi="Arial" w:hint="default"/>
      </w:rPr>
    </w:lvl>
    <w:lvl w:ilvl="4" w:tplc="F196BD0C" w:tentative="1">
      <w:start w:val="1"/>
      <w:numFmt w:val="bullet"/>
      <w:lvlText w:val="•"/>
      <w:lvlJc w:val="left"/>
      <w:pPr>
        <w:tabs>
          <w:tab w:val="num" w:pos="3600"/>
        </w:tabs>
        <w:ind w:left="3600" w:hanging="360"/>
      </w:pPr>
      <w:rPr>
        <w:rFonts w:ascii="Arial" w:hAnsi="Arial" w:hint="default"/>
      </w:rPr>
    </w:lvl>
    <w:lvl w:ilvl="5" w:tplc="0F22F9B4" w:tentative="1">
      <w:start w:val="1"/>
      <w:numFmt w:val="bullet"/>
      <w:lvlText w:val="•"/>
      <w:lvlJc w:val="left"/>
      <w:pPr>
        <w:tabs>
          <w:tab w:val="num" w:pos="4320"/>
        </w:tabs>
        <w:ind w:left="4320" w:hanging="360"/>
      </w:pPr>
      <w:rPr>
        <w:rFonts w:ascii="Arial" w:hAnsi="Arial" w:hint="default"/>
      </w:rPr>
    </w:lvl>
    <w:lvl w:ilvl="6" w:tplc="325A0D28" w:tentative="1">
      <w:start w:val="1"/>
      <w:numFmt w:val="bullet"/>
      <w:lvlText w:val="•"/>
      <w:lvlJc w:val="left"/>
      <w:pPr>
        <w:tabs>
          <w:tab w:val="num" w:pos="5040"/>
        </w:tabs>
        <w:ind w:left="5040" w:hanging="360"/>
      </w:pPr>
      <w:rPr>
        <w:rFonts w:ascii="Arial" w:hAnsi="Arial" w:hint="default"/>
      </w:rPr>
    </w:lvl>
    <w:lvl w:ilvl="7" w:tplc="0C7EC12C" w:tentative="1">
      <w:start w:val="1"/>
      <w:numFmt w:val="bullet"/>
      <w:lvlText w:val="•"/>
      <w:lvlJc w:val="left"/>
      <w:pPr>
        <w:tabs>
          <w:tab w:val="num" w:pos="5760"/>
        </w:tabs>
        <w:ind w:left="5760" w:hanging="360"/>
      </w:pPr>
      <w:rPr>
        <w:rFonts w:ascii="Arial" w:hAnsi="Arial" w:hint="default"/>
      </w:rPr>
    </w:lvl>
    <w:lvl w:ilvl="8" w:tplc="29CCF6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EB3764C"/>
    <w:multiLevelType w:val="hybridMultilevel"/>
    <w:tmpl w:val="14742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7"/>
  </w:num>
  <w:num w:numId="6">
    <w:abstractNumId w:val="13"/>
  </w:num>
  <w:num w:numId="7">
    <w:abstractNumId w:val="17"/>
  </w:num>
  <w:num w:numId="8">
    <w:abstractNumId w:val="8"/>
  </w:num>
  <w:num w:numId="9">
    <w:abstractNumId w:val="6"/>
  </w:num>
  <w:num w:numId="10">
    <w:abstractNumId w:val="2"/>
  </w:num>
  <w:num w:numId="11">
    <w:abstractNumId w:val="1"/>
  </w:num>
  <w:num w:numId="12">
    <w:abstractNumId w:val="0"/>
  </w:num>
  <w:num w:numId="13">
    <w:abstractNumId w:val="15"/>
  </w:num>
  <w:num w:numId="14">
    <w:abstractNumId w:val="9"/>
  </w:num>
  <w:num w:numId="15">
    <w:abstractNumId w:val="10"/>
  </w:num>
  <w:num w:numId="16">
    <w:abstractNumId w:val="5"/>
  </w:num>
  <w:num w:numId="17">
    <w:abstractNumId w:val="16"/>
  </w:num>
  <w:num w:numId="18">
    <w:abstractNumId w:val="18"/>
  </w:num>
  <w:num w:numId="19">
    <w:abstractNumId w:val="20"/>
  </w:num>
  <w:num w:numId="20">
    <w:abstractNumId w:val="11"/>
  </w:num>
  <w:num w:numId="21">
    <w:abstractNumId w:val="4"/>
  </w:num>
  <w:num w:numId="22">
    <w:abstractNumId w:val="11"/>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4"/>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9B9"/>
    <w:rsid w:val="00085B52"/>
    <w:rsid w:val="000866F2"/>
    <w:rsid w:val="0009009F"/>
    <w:rsid w:val="00091557"/>
    <w:rsid w:val="000924C1"/>
    <w:rsid w:val="000924F0"/>
    <w:rsid w:val="00093474"/>
    <w:rsid w:val="000947B8"/>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06DC0"/>
    <w:rsid w:val="00113CF4"/>
    <w:rsid w:val="001153EA"/>
    <w:rsid w:val="00115643"/>
    <w:rsid w:val="00116765"/>
    <w:rsid w:val="001219F5"/>
    <w:rsid w:val="00121A20"/>
    <w:rsid w:val="0012377F"/>
    <w:rsid w:val="00124314"/>
    <w:rsid w:val="00126B4A"/>
    <w:rsid w:val="00132FD0"/>
    <w:rsid w:val="001344C0"/>
    <w:rsid w:val="001346FA"/>
    <w:rsid w:val="00135252"/>
    <w:rsid w:val="00135F6D"/>
    <w:rsid w:val="00137AB5"/>
    <w:rsid w:val="00137F0B"/>
    <w:rsid w:val="001468F5"/>
    <w:rsid w:val="00151E23"/>
    <w:rsid w:val="001526E0"/>
    <w:rsid w:val="0015373E"/>
    <w:rsid w:val="001551B5"/>
    <w:rsid w:val="001642D1"/>
    <w:rsid w:val="001659C1"/>
    <w:rsid w:val="00173A8E"/>
    <w:rsid w:val="0018143F"/>
    <w:rsid w:val="00190AC1"/>
    <w:rsid w:val="0019341A"/>
    <w:rsid w:val="00193AB7"/>
    <w:rsid w:val="00197DF9"/>
    <w:rsid w:val="00197F42"/>
    <w:rsid w:val="001A1987"/>
    <w:rsid w:val="001A2564"/>
    <w:rsid w:val="001A6173"/>
    <w:rsid w:val="001A6CBA"/>
    <w:rsid w:val="001B0D97"/>
    <w:rsid w:val="001B5A5D"/>
    <w:rsid w:val="001C1CE5"/>
    <w:rsid w:val="001C3D2A"/>
    <w:rsid w:val="001D16F9"/>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35A7"/>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731"/>
    <w:rsid w:val="002451ED"/>
    <w:rsid w:val="002458EB"/>
    <w:rsid w:val="002500C8"/>
    <w:rsid w:val="00257543"/>
    <w:rsid w:val="002611E7"/>
    <w:rsid w:val="0026168D"/>
    <w:rsid w:val="002617E7"/>
    <w:rsid w:val="00264228"/>
    <w:rsid w:val="00264334"/>
    <w:rsid w:val="0026473E"/>
    <w:rsid w:val="00264C85"/>
    <w:rsid w:val="00266214"/>
    <w:rsid w:val="00267C83"/>
    <w:rsid w:val="0027144F"/>
    <w:rsid w:val="00271813"/>
    <w:rsid w:val="00271F3A"/>
    <w:rsid w:val="00273278"/>
    <w:rsid w:val="002737F4"/>
    <w:rsid w:val="002805F5"/>
    <w:rsid w:val="00280751"/>
    <w:rsid w:val="0028280A"/>
    <w:rsid w:val="0028612B"/>
    <w:rsid w:val="00286ACD"/>
    <w:rsid w:val="00287838"/>
    <w:rsid w:val="002907B5"/>
    <w:rsid w:val="00292EB7"/>
    <w:rsid w:val="00296227"/>
    <w:rsid w:val="00296F44"/>
    <w:rsid w:val="0029777D"/>
    <w:rsid w:val="002A055E"/>
    <w:rsid w:val="002A1D4E"/>
    <w:rsid w:val="002A2869"/>
    <w:rsid w:val="002A53F0"/>
    <w:rsid w:val="002A7E87"/>
    <w:rsid w:val="002B220E"/>
    <w:rsid w:val="002B24D6"/>
    <w:rsid w:val="002B2767"/>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151CC"/>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3966"/>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9A7"/>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4932"/>
    <w:rsid w:val="00465ABC"/>
    <w:rsid w:val="004669E2"/>
    <w:rsid w:val="00470C31"/>
    <w:rsid w:val="004734D0"/>
    <w:rsid w:val="0047556B"/>
    <w:rsid w:val="00477768"/>
    <w:rsid w:val="00492BC5"/>
    <w:rsid w:val="004964F1"/>
    <w:rsid w:val="004A16BC"/>
    <w:rsid w:val="004A2B94"/>
    <w:rsid w:val="004B7C0C"/>
    <w:rsid w:val="004C3898"/>
    <w:rsid w:val="004D1C30"/>
    <w:rsid w:val="004D36B1"/>
    <w:rsid w:val="004D37D8"/>
    <w:rsid w:val="004D4332"/>
    <w:rsid w:val="004D7EBD"/>
    <w:rsid w:val="004E2680"/>
    <w:rsid w:val="004E28F9"/>
    <w:rsid w:val="004E462E"/>
    <w:rsid w:val="004E56DC"/>
    <w:rsid w:val="004E76F4"/>
    <w:rsid w:val="004F0B4E"/>
    <w:rsid w:val="004F0B6C"/>
    <w:rsid w:val="004F2078"/>
    <w:rsid w:val="004F4DA3"/>
    <w:rsid w:val="004F53D2"/>
    <w:rsid w:val="00506557"/>
    <w:rsid w:val="0050677A"/>
    <w:rsid w:val="005077D7"/>
    <w:rsid w:val="005108D8"/>
    <w:rsid w:val="005116F9"/>
    <w:rsid w:val="005153A7"/>
    <w:rsid w:val="005219CF"/>
    <w:rsid w:val="00534B59"/>
    <w:rsid w:val="00536759"/>
    <w:rsid w:val="00537C62"/>
    <w:rsid w:val="0054355F"/>
    <w:rsid w:val="00546970"/>
    <w:rsid w:val="00551BC0"/>
    <w:rsid w:val="00554192"/>
    <w:rsid w:val="00554E19"/>
    <w:rsid w:val="00560B2C"/>
    <w:rsid w:val="0056121F"/>
    <w:rsid w:val="005719B2"/>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06D0C"/>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99D"/>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B7E9D"/>
    <w:rsid w:val="006C03B8"/>
    <w:rsid w:val="006C5EC9"/>
    <w:rsid w:val="006C6059"/>
    <w:rsid w:val="006C6C12"/>
    <w:rsid w:val="006C7522"/>
    <w:rsid w:val="006D2CF3"/>
    <w:rsid w:val="006D6F08"/>
    <w:rsid w:val="006D7E9F"/>
    <w:rsid w:val="006E062C"/>
    <w:rsid w:val="006E1514"/>
    <w:rsid w:val="006E2288"/>
    <w:rsid w:val="006E28B7"/>
    <w:rsid w:val="006E3310"/>
    <w:rsid w:val="006E4E39"/>
    <w:rsid w:val="006E565E"/>
    <w:rsid w:val="006E673D"/>
    <w:rsid w:val="006E6F50"/>
    <w:rsid w:val="006E7D3B"/>
    <w:rsid w:val="006F09E0"/>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2CAA"/>
    <w:rsid w:val="00793CD8"/>
    <w:rsid w:val="00795C92"/>
    <w:rsid w:val="00796231"/>
    <w:rsid w:val="007A1CB3"/>
    <w:rsid w:val="007A306F"/>
    <w:rsid w:val="007A43A6"/>
    <w:rsid w:val="007A58A6"/>
    <w:rsid w:val="007A5B38"/>
    <w:rsid w:val="007B3D2D"/>
    <w:rsid w:val="007B50AE"/>
    <w:rsid w:val="007B51DF"/>
    <w:rsid w:val="007B7374"/>
    <w:rsid w:val="007B76C7"/>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6143"/>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AB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853"/>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7CB"/>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207D"/>
    <w:rsid w:val="00A031D8"/>
    <w:rsid w:val="00A048A8"/>
    <w:rsid w:val="00A04F49"/>
    <w:rsid w:val="00A13E54"/>
    <w:rsid w:val="00A15745"/>
    <w:rsid w:val="00A17F63"/>
    <w:rsid w:val="00A2193B"/>
    <w:rsid w:val="00A233D1"/>
    <w:rsid w:val="00A2351A"/>
    <w:rsid w:val="00A24A37"/>
    <w:rsid w:val="00A264A9"/>
    <w:rsid w:val="00A27785"/>
    <w:rsid w:val="00A30187"/>
    <w:rsid w:val="00A3448A"/>
    <w:rsid w:val="00A36297"/>
    <w:rsid w:val="00A41E2B"/>
    <w:rsid w:val="00A45B74"/>
    <w:rsid w:val="00A50C87"/>
    <w:rsid w:val="00A52E1D"/>
    <w:rsid w:val="00A548AA"/>
    <w:rsid w:val="00A54D1B"/>
    <w:rsid w:val="00A61499"/>
    <w:rsid w:val="00A62A77"/>
    <w:rsid w:val="00A63483"/>
    <w:rsid w:val="00A657D7"/>
    <w:rsid w:val="00A660AC"/>
    <w:rsid w:val="00A67E6C"/>
    <w:rsid w:val="00A71B99"/>
    <w:rsid w:val="00A7380A"/>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096"/>
    <w:rsid w:val="00AC49FB"/>
    <w:rsid w:val="00AC5A10"/>
    <w:rsid w:val="00AC7789"/>
    <w:rsid w:val="00AD0AA3"/>
    <w:rsid w:val="00AD3F94"/>
    <w:rsid w:val="00AD4A5A"/>
    <w:rsid w:val="00AD4AAD"/>
    <w:rsid w:val="00AD69EE"/>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415F"/>
    <w:rsid w:val="00B157F9"/>
    <w:rsid w:val="00B20256"/>
    <w:rsid w:val="00B20D09"/>
    <w:rsid w:val="00B2763F"/>
    <w:rsid w:val="00B27AAC"/>
    <w:rsid w:val="00B30929"/>
    <w:rsid w:val="00B372AA"/>
    <w:rsid w:val="00B40445"/>
    <w:rsid w:val="00B41888"/>
    <w:rsid w:val="00B45A52"/>
    <w:rsid w:val="00B46175"/>
    <w:rsid w:val="00B62978"/>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E91"/>
    <w:rsid w:val="00BD48AC"/>
    <w:rsid w:val="00BD5F1A"/>
    <w:rsid w:val="00BE1234"/>
    <w:rsid w:val="00BE1FCF"/>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FE9"/>
    <w:rsid w:val="00C279B5"/>
    <w:rsid w:val="00C27C45"/>
    <w:rsid w:val="00C3719D"/>
    <w:rsid w:val="00C54995"/>
    <w:rsid w:val="00C54D41"/>
    <w:rsid w:val="00C552CB"/>
    <w:rsid w:val="00C60783"/>
    <w:rsid w:val="00C64672"/>
    <w:rsid w:val="00C70697"/>
    <w:rsid w:val="00C72EF4"/>
    <w:rsid w:val="00C75D2F"/>
    <w:rsid w:val="00C767BE"/>
    <w:rsid w:val="00C76E3C"/>
    <w:rsid w:val="00C81568"/>
    <w:rsid w:val="00C86DA5"/>
    <w:rsid w:val="00C87563"/>
    <w:rsid w:val="00C9027A"/>
    <w:rsid w:val="00C9068E"/>
    <w:rsid w:val="00C92678"/>
    <w:rsid w:val="00C93C4B"/>
    <w:rsid w:val="00C944AB"/>
    <w:rsid w:val="00C95B40"/>
    <w:rsid w:val="00CA1068"/>
    <w:rsid w:val="00CA1ED8"/>
    <w:rsid w:val="00CA2417"/>
    <w:rsid w:val="00CB1F63"/>
    <w:rsid w:val="00CB7170"/>
    <w:rsid w:val="00CB7452"/>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03C"/>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3E2E"/>
    <w:rsid w:val="00DC2639"/>
    <w:rsid w:val="00DC2D36"/>
    <w:rsid w:val="00DC53EF"/>
    <w:rsid w:val="00DE5608"/>
    <w:rsid w:val="00DE58D0"/>
    <w:rsid w:val="00DE654F"/>
    <w:rsid w:val="00DF0B6E"/>
    <w:rsid w:val="00DF15E0"/>
    <w:rsid w:val="00DF37A0"/>
    <w:rsid w:val="00DF430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83F"/>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3AD"/>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59C7"/>
    <w:rsid w:val="00F5766B"/>
    <w:rsid w:val="00F607C5"/>
    <w:rsid w:val="00F60DEA"/>
    <w:rsid w:val="00F6302A"/>
    <w:rsid w:val="00F64C2B"/>
    <w:rsid w:val="00F651BE"/>
    <w:rsid w:val="00F67F53"/>
    <w:rsid w:val="00F703BE"/>
    <w:rsid w:val="00F71F69"/>
    <w:rsid w:val="00F72B72"/>
    <w:rsid w:val="00F74BB9"/>
    <w:rsid w:val="00F75582"/>
    <w:rsid w:val="00F7611C"/>
    <w:rsid w:val="00F76EFA"/>
    <w:rsid w:val="00F804BE"/>
    <w:rsid w:val="00F817CE"/>
    <w:rsid w:val="00F8456C"/>
    <w:rsid w:val="00F859D8"/>
    <w:rsid w:val="00F868F5"/>
    <w:rsid w:val="00F9056A"/>
    <w:rsid w:val="00F90F8D"/>
    <w:rsid w:val="00F92782"/>
    <w:rsid w:val="00F93AA9"/>
    <w:rsid w:val="00F96985"/>
    <w:rsid w:val="00F97838"/>
    <w:rsid w:val="00FA2BB3"/>
    <w:rsid w:val="00FA3FC4"/>
    <w:rsid w:val="00FB09DB"/>
    <w:rsid w:val="00FB4417"/>
    <w:rsid w:val="00FB4C80"/>
    <w:rsid w:val="00FB6A6A"/>
    <w:rsid w:val="00FC7429"/>
    <w:rsid w:val="00FD07F6"/>
    <w:rsid w:val="00FD11F7"/>
    <w:rsid w:val="00FD1EC8"/>
    <w:rsid w:val="00FD47ED"/>
    <w:rsid w:val="00FD74DB"/>
    <w:rsid w:val="00FD7660"/>
    <w:rsid w:val="00FE0655"/>
    <w:rsid w:val="00FE1321"/>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6C12"/>
    <w:rPr>
      <w:rFonts w:eastAsiaTheme="minorHAnsi"/>
    </w:rPr>
  </w:style>
  <w:style w:type="paragraph" w:styleId="Heading1">
    <w:name w:val="heading 1"/>
    <w:next w:val="Normal"/>
    <w:link w:val="Heading1Char"/>
    <w:qFormat/>
    <w:rsid w:val="003B39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B396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B3966"/>
    <w:pPr>
      <w:numPr>
        <w:ilvl w:val="2"/>
      </w:numPr>
      <w:spacing w:before="120"/>
      <w:outlineLvl w:val="2"/>
    </w:pPr>
    <w:rPr>
      <w:sz w:val="24"/>
      <w:szCs w:val="28"/>
    </w:rPr>
  </w:style>
  <w:style w:type="paragraph" w:styleId="Heading4">
    <w:name w:val="heading 4"/>
    <w:basedOn w:val="Heading3"/>
    <w:next w:val="Normal"/>
    <w:qFormat/>
    <w:rsid w:val="003B3966"/>
    <w:pPr>
      <w:numPr>
        <w:ilvl w:val="3"/>
      </w:numPr>
      <w:outlineLvl w:val="3"/>
    </w:pPr>
    <w:rPr>
      <w:szCs w:val="24"/>
    </w:rPr>
  </w:style>
  <w:style w:type="paragraph" w:styleId="Heading5">
    <w:name w:val="heading 5"/>
    <w:basedOn w:val="Heading4"/>
    <w:next w:val="Normal"/>
    <w:qFormat/>
    <w:rsid w:val="003B3966"/>
    <w:pPr>
      <w:numPr>
        <w:ilvl w:val="4"/>
      </w:numPr>
      <w:outlineLvl w:val="4"/>
    </w:pPr>
    <w:rPr>
      <w:sz w:val="22"/>
      <w:szCs w:val="22"/>
    </w:rPr>
  </w:style>
  <w:style w:type="paragraph" w:styleId="Heading6">
    <w:name w:val="heading 6"/>
    <w:basedOn w:val="Normal"/>
    <w:next w:val="Normal"/>
    <w:qFormat/>
    <w:rsid w:val="003B3966"/>
    <w:pPr>
      <w:keepNext/>
      <w:keepLines/>
      <w:numPr>
        <w:ilvl w:val="5"/>
        <w:numId w:val="1"/>
      </w:numPr>
      <w:spacing w:before="120"/>
      <w:outlineLvl w:val="5"/>
    </w:pPr>
    <w:rPr>
      <w:rFonts w:cs="Arial"/>
    </w:rPr>
  </w:style>
  <w:style w:type="paragraph" w:styleId="Heading7">
    <w:name w:val="heading 7"/>
    <w:basedOn w:val="Normal"/>
    <w:next w:val="Normal"/>
    <w:qFormat/>
    <w:rsid w:val="003B3966"/>
    <w:pPr>
      <w:keepNext/>
      <w:keepLines/>
      <w:numPr>
        <w:ilvl w:val="6"/>
        <w:numId w:val="1"/>
      </w:numPr>
      <w:spacing w:before="120"/>
      <w:outlineLvl w:val="6"/>
    </w:pPr>
    <w:rPr>
      <w:rFonts w:cs="Arial"/>
    </w:rPr>
  </w:style>
  <w:style w:type="paragraph" w:styleId="Heading8">
    <w:name w:val="heading 8"/>
    <w:basedOn w:val="Heading7"/>
    <w:next w:val="Normal"/>
    <w:qFormat/>
    <w:rsid w:val="003B3966"/>
    <w:pPr>
      <w:numPr>
        <w:ilvl w:val="7"/>
      </w:numPr>
      <w:outlineLvl w:val="7"/>
    </w:pPr>
  </w:style>
  <w:style w:type="paragraph" w:styleId="Heading9">
    <w:name w:val="heading 9"/>
    <w:basedOn w:val="Heading8"/>
    <w:next w:val="Normal"/>
    <w:qFormat/>
    <w:rsid w:val="003B3966"/>
    <w:pPr>
      <w:numPr>
        <w:ilvl w:val="8"/>
      </w:numPr>
      <w:outlineLvl w:val="8"/>
    </w:pPr>
  </w:style>
  <w:style w:type="character" w:default="1" w:styleId="DefaultParagraphFont">
    <w:name w:val="Default Paragraph Font"/>
    <w:uiPriority w:val="1"/>
    <w:semiHidden/>
    <w:unhideWhenUsed/>
    <w:rsid w:val="006C6C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6C12"/>
  </w:style>
  <w:style w:type="paragraph" w:styleId="TOC8">
    <w:name w:val="toc 8"/>
    <w:basedOn w:val="TOC1"/>
    <w:semiHidden/>
    <w:rsid w:val="003B3966"/>
    <w:pPr>
      <w:spacing w:before="180"/>
      <w:ind w:left="2693" w:hanging="2693"/>
    </w:pPr>
    <w:rPr>
      <w:b w:val="0"/>
      <w:bCs/>
    </w:rPr>
  </w:style>
  <w:style w:type="paragraph" w:styleId="TOC1">
    <w:name w:val="toc 1"/>
    <w:aliases w:val="Observation TOC2"/>
    <w:uiPriority w:val="39"/>
    <w:rsid w:val="003B396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B3966"/>
    <w:pPr>
      <w:keepNext/>
      <w:keepLines/>
      <w:spacing w:before="180"/>
      <w:jc w:val="center"/>
    </w:pPr>
  </w:style>
  <w:style w:type="paragraph" w:styleId="Caption">
    <w:name w:val="caption"/>
    <w:basedOn w:val="Normal"/>
    <w:next w:val="Normal"/>
    <w:qFormat/>
    <w:rsid w:val="003B3966"/>
    <w:pPr>
      <w:spacing w:after="240"/>
      <w:jc w:val="center"/>
    </w:pPr>
    <w:rPr>
      <w:b/>
      <w:bCs/>
    </w:rPr>
  </w:style>
  <w:style w:type="paragraph" w:styleId="TOC5">
    <w:name w:val="toc 5"/>
    <w:aliases w:val="Observation TOC"/>
    <w:basedOn w:val="TOC4"/>
    <w:semiHidden/>
    <w:rsid w:val="003B3966"/>
    <w:pPr>
      <w:tabs>
        <w:tab w:val="right" w:pos="1701"/>
      </w:tabs>
      <w:ind w:left="1701" w:hanging="1701"/>
    </w:pPr>
  </w:style>
  <w:style w:type="paragraph" w:styleId="TOC4">
    <w:name w:val="toc 4"/>
    <w:basedOn w:val="TOC3"/>
    <w:semiHidden/>
    <w:rsid w:val="003B3966"/>
    <w:pPr>
      <w:ind w:left="1418" w:hanging="1418"/>
    </w:pPr>
  </w:style>
  <w:style w:type="paragraph" w:styleId="TOC3">
    <w:name w:val="toc 3"/>
    <w:basedOn w:val="TOC2"/>
    <w:semiHidden/>
    <w:rsid w:val="003B3966"/>
    <w:pPr>
      <w:ind w:left="1134" w:hanging="1134"/>
    </w:pPr>
  </w:style>
  <w:style w:type="paragraph" w:styleId="TOC2">
    <w:name w:val="toc 2"/>
    <w:basedOn w:val="TOC1"/>
    <w:semiHidden/>
    <w:rsid w:val="003B3966"/>
    <w:pPr>
      <w:keepNext w:val="0"/>
      <w:spacing w:before="0"/>
      <w:ind w:left="851" w:hanging="851"/>
    </w:pPr>
    <w:rPr>
      <w:szCs w:val="20"/>
    </w:rPr>
  </w:style>
  <w:style w:type="paragraph" w:styleId="Index2">
    <w:name w:val="index 2"/>
    <w:basedOn w:val="Index1"/>
    <w:semiHidden/>
    <w:rsid w:val="003B3966"/>
    <w:pPr>
      <w:ind w:left="284"/>
    </w:pPr>
  </w:style>
  <w:style w:type="paragraph" w:styleId="Index1">
    <w:name w:val="index 1"/>
    <w:basedOn w:val="Normal"/>
    <w:semiHidden/>
    <w:rsid w:val="003B3966"/>
    <w:pPr>
      <w:keepLines/>
    </w:pPr>
  </w:style>
  <w:style w:type="paragraph" w:styleId="DocumentMap">
    <w:name w:val="Document Map"/>
    <w:basedOn w:val="Normal"/>
    <w:semiHidden/>
    <w:rsid w:val="003B3966"/>
    <w:pPr>
      <w:shd w:val="clear" w:color="auto" w:fill="000080"/>
    </w:pPr>
    <w:rPr>
      <w:rFonts w:ascii="Tahoma" w:hAnsi="Tahoma" w:cs="Tahoma"/>
    </w:rPr>
  </w:style>
  <w:style w:type="paragraph" w:styleId="ListNumber2">
    <w:name w:val="List Number 2"/>
    <w:basedOn w:val="ListNumber"/>
    <w:rsid w:val="003B3966"/>
    <w:pPr>
      <w:ind w:left="851"/>
    </w:pPr>
  </w:style>
  <w:style w:type="paragraph" w:styleId="ListNumber">
    <w:name w:val="List Number"/>
    <w:basedOn w:val="List"/>
    <w:rsid w:val="003B3966"/>
  </w:style>
  <w:style w:type="paragraph" w:styleId="List">
    <w:name w:val="List"/>
    <w:basedOn w:val="Normal"/>
    <w:rsid w:val="003B3966"/>
    <w:pPr>
      <w:ind w:left="568" w:hanging="284"/>
    </w:pPr>
  </w:style>
  <w:style w:type="paragraph" w:styleId="Header">
    <w:name w:val="header"/>
    <w:rsid w:val="003B396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3966"/>
    <w:rPr>
      <w:b/>
      <w:bCs/>
      <w:position w:val="6"/>
      <w:sz w:val="16"/>
      <w:szCs w:val="16"/>
    </w:rPr>
  </w:style>
  <w:style w:type="paragraph" w:styleId="FootnoteText">
    <w:name w:val="footnote text"/>
    <w:basedOn w:val="Normal"/>
    <w:semiHidden/>
    <w:rsid w:val="003B3966"/>
    <w:pPr>
      <w:keepLines/>
      <w:ind w:left="454" w:hanging="454"/>
    </w:pPr>
    <w:rPr>
      <w:sz w:val="16"/>
      <w:szCs w:val="16"/>
    </w:rPr>
  </w:style>
  <w:style w:type="paragraph" w:customStyle="1" w:styleId="3GPPHeader">
    <w:name w:val="3GPP_Header"/>
    <w:basedOn w:val="Normal"/>
    <w:qFormat/>
    <w:rsid w:val="003B3966"/>
    <w:pPr>
      <w:tabs>
        <w:tab w:val="left" w:pos="1800"/>
        <w:tab w:val="right" w:pos="9360"/>
      </w:tabs>
    </w:pPr>
    <w:rPr>
      <w:rFonts w:ascii="Arial" w:hAnsi="Arial"/>
      <w:b/>
    </w:rPr>
  </w:style>
  <w:style w:type="paragraph" w:styleId="TOC9">
    <w:name w:val="toc 9"/>
    <w:basedOn w:val="TOC8"/>
    <w:semiHidden/>
    <w:rsid w:val="003B3966"/>
    <w:pPr>
      <w:ind w:left="1418" w:hanging="1418"/>
    </w:pPr>
  </w:style>
  <w:style w:type="paragraph" w:styleId="TOC6">
    <w:name w:val="toc 6"/>
    <w:basedOn w:val="TOC5"/>
    <w:next w:val="Normal"/>
    <w:semiHidden/>
    <w:rsid w:val="003B3966"/>
    <w:pPr>
      <w:ind w:left="1985" w:hanging="1985"/>
    </w:pPr>
  </w:style>
  <w:style w:type="paragraph" w:styleId="TOC7">
    <w:name w:val="toc 7"/>
    <w:basedOn w:val="TOC6"/>
    <w:next w:val="Normal"/>
    <w:semiHidden/>
    <w:rsid w:val="003B3966"/>
    <w:pPr>
      <w:ind w:left="2268" w:hanging="2268"/>
    </w:pPr>
  </w:style>
  <w:style w:type="paragraph" w:styleId="ListBullet2">
    <w:name w:val="List Bullet 2"/>
    <w:basedOn w:val="ListBullet"/>
    <w:rsid w:val="003B3966"/>
    <w:pPr>
      <w:numPr>
        <w:numId w:val="6"/>
      </w:numPr>
    </w:pPr>
  </w:style>
  <w:style w:type="paragraph" w:styleId="ListBullet">
    <w:name w:val="List Bullet"/>
    <w:basedOn w:val="BodyText"/>
    <w:rsid w:val="003B3966"/>
    <w:pPr>
      <w:numPr>
        <w:numId w:val="5"/>
      </w:numPr>
    </w:pPr>
  </w:style>
  <w:style w:type="paragraph" w:styleId="ListBullet3">
    <w:name w:val="List Bullet 3"/>
    <w:basedOn w:val="ListBullet2"/>
    <w:rsid w:val="003B3966"/>
    <w:pPr>
      <w:numPr>
        <w:numId w:val="7"/>
      </w:numPr>
    </w:pPr>
  </w:style>
  <w:style w:type="paragraph" w:customStyle="1" w:styleId="EQ">
    <w:name w:val="EQ"/>
    <w:basedOn w:val="Normal"/>
    <w:next w:val="Normal"/>
    <w:rsid w:val="003B3966"/>
    <w:pPr>
      <w:keepLines/>
      <w:tabs>
        <w:tab w:val="center" w:pos="4536"/>
        <w:tab w:val="right" w:pos="9072"/>
      </w:tabs>
      <w:spacing w:after="180"/>
    </w:pPr>
    <w:rPr>
      <w:noProof/>
    </w:rPr>
  </w:style>
  <w:style w:type="paragraph" w:styleId="List2">
    <w:name w:val="List 2"/>
    <w:basedOn w:val="List"/>
    <w:rsid w:val="003B3966"/>
    <w:pPr>
      <w:ind w:left="851"/>
    </w:pPr>
  </w:style>
  <w:style w:type="paragraph" w:styleId="List3">
    <w:name w:val="List 3"/>
    <w:basedOn w:val="List2"/>
    <w:rsid w:val="003B3966"/>
    <w:pPr>
      <w:ind w:left="1135"/>
    </w:pPr>
  </w:style>
  <w:style w:type="paragraph" w:styleId="List4">
    <w:name w:val="List 4"/>
    <w:basedOn w:val="List3"/>
    <w:rsid w:val="003B3966"/>
    <w:pPr>
      <w:ind w:left="1418"/>
    </w:pPr>
  </w:style>
  <w:style w:type="paragraph" w:styleId="List5">
    <w:name w:val="List 5"/>
    <w:basedOn w:val="List4"/>
    <w:rsid w:val="003B3966"/>
    <w:pPr>
      <w:ind w:left="1702"/>
    </w:pPr>
  </w:style>
  <w:style w:type="paragraph" w:customStyle="1" w:styleId="EditorsNote">
    <w:name w:val="Editor's Note"/>
    <w:basedOn w:val="Normal"/>
    <w:rsid w:val="003B3966"/>
    <w:pPr>
      <w:keepLines/>
      <w:spacing w:after="180"/>
      <w:ind w:left="1135" w:hanging="851"/>
    </w:pPr>
    <w:rPr>
      <w:color w:val="FF0000"/>
    </w:rPr>
  </w:style>
  <w:style w:type="paragraph" w:styleId="ListBullet4">
    <w:name w:val="List Bullet 4"/>
    <w:basedOn w:val="ListBullet3"/>
    <w:rsid w:val="003B3966"/>
    <w:pPr>
      <w:numPr>
        <w:numId w:val="8"/>
      </w:numPr>
    </w:pPr>
  </w:style>
  <w:style w:type="paragraph" w:styleId="ListBullet5">
    <w:name w:val="List Bullet 5"/>
    <w:basedOn w:val="ListBullet4"/>
    <w:rsid w:val="003B3966"/>
    <w:pPr>
      <w:numPr>
        <w:numId w:val="4"/>
      </w:numPr>
    </w:pPr>
  </w:style>
  <w:style w:type="paragraph" w:styleId="Footer">
    <w:name w:val="footer"/>
    <w:basedOn w:val="Header"/>
    <w:semiHidden/>
    <w:rsid w:val="003B3966"/>
    <w:pPr>
      <w:jc w:val="center"/>
    </w:pPr>
    <w:rPr>
      <w:i/>
      <w:iCs/>
    </w:rPr>
  </w:style>
  <w:style w:type="paragraph" w:customStyle="1" w:styleId="Reference">
    <w:name w:val="Reference"/>
    <w:basedOn w:val="Normal"/>
    <w:link w:val="ReferenceChar"/>
    <w:qFormat/>
    <w:rsid w:val="003B3966"/>
    <w:pPr>
      <w:numPr>
        <w:numId w:val="2"/>
      </w:numPr>
    </w:pPr>
  </w:style>
  <w:style w:type="paragraph" w:styleId="BalloonText">
    <w:name w:val="Balloon Text"/>
    <w:basedOn w:val="Normal"/>
    <w:semiHidden/>
    <w:rsid w:val="003B3966"/>
    <w:rPr>
      <w:rFonts w:ascii="Tahoma" w:hAnsi="Tahoma" w:cs="Tahoma"/>
      <w:sz w:val="16"/>
      <w:szCs w:val="16"/>
    </w:rPr>
  </w:style>
  <w:style w:type="character" w:styleId="PageNumber">
    <w:name w:val="page number"/>
    <w:basedOn w:val="DefaultParagraphFont"/>
    <w:semiHidden/>
    <w:rsid w:val="003B3966"/>
  </w:style>
  <w:style w:type="paragraph" w:styleId="BodyText">
    <w:name w:val="Body Text"/>
    <w:basedOn w:val="Normal"/>
    <w:link w:val="BodyTextChar"/>
    <w:qFormat/>
    <w:rsid w:val="003B3966"/>
  </w:style>
  <w:style w:type="character" w:styleId="Hyperlink">
    <w:name w:val="Hyperlink"/>
    <w:uiPriority w:val="99"/>
    <w:rsid w:val="003B3966"/>
    <w:rPr>
      <w:color w:val="0000FF"/>
      <w:u w:val="single"/>
      <w:lang w:val="en-GB"/>
    </w:rPr>
  </w:style>
  <w:style w:type="character" w:styleId="FollowedHyperlink">
    <w:name w:val="FollowedHyperlink"/>
    <w:semiHidden/>
    <w:rsid w:val="003B3966"/>
    <w:rPr>
      <w:color w:val="FF0000"/>
      <w:u w:val="single"/>
    </w:rPr>
  </w:style>
  <w:style w:type="character" w:styleId="CommentReference">
    <w:name w:val="annotation reference"/>
    <w:semiHidden/>
    <w:rsid w:val="003B3966"/>
    <w:rPr>
      <w:sz w:val="16"/>
      <w:szCs w:val="16"/>
    </w:rPr>
  </w:style>
  <w:style w:type="paragraph" w:styleId="CommentText">
    <w:name w:val="annotation text"/>
    <w:basedOn w:val="Normal"/>
    <w:semiHidden/>
    <w:rsid w:val="003B3966"/>
  </w:style>
  <w:style w:type="paragraph" w:styleId="CommentSubject">
    <w:name w:val="annotation subject"/>
    <w:basedOn w:val="CommentText"/>
    <w:next w:val="CommentText"/>
    <w:semiHidden/>
    <w:rsid w:val="003B3966"/>
    <w:rPr>
      <w:b/>
      <w:bCs/>
    </w:rPr>
  </w:style>
  <w:style w:type="character" w:customStyle="1" w:styleId="Heading1Char">
    <w:name w:val="Heading 1 Char"/>
    <w:link w:val="Heading1"/>
    <w:rsid w:val="003B3966"/>
    <w:rPr>
      <w:rFonts w:ascii="Arial" w:hAnsi="Arial" w:cs="Arial"/>
      <w:sz w:val="32"/>
      <w:szCs w:val="36"/>
      <w:lang w:val="en-GB" w:eastAsia="zh-CN"/>
    </w:rPr>
  </w:style>
  <w:style w:type="paragraph" w:customStyle="1" w:styleId="B1">
    <w:name w:val="B1"/>
    <w:basedOn w:val="List"/>
    <w:rsid w:val="003B3966"/>
    <w:pPr>
      <w:spacing w:after="180"/>
    </w:pPr>
  </w:style>
  <w:style w:type="paragraph" w:customStyle="1" w:styleId="B2">
    <w:name w:val="B2"/>
    <w:basedOn w:val="List2"/>
    <w:rsid w:val="003B3966"/>
    <w:pPr>
      <w:spacing w:after="180"/>
    </w:pPr>
  </w:style>
  <w:style w:type="paragraph" w:customStyle="1" w:styleId="B3">
    <w:name w:val="B3"/>
    <w:basedOn w:val="List3"/>
    <w:rsid w:val="003B3966"/>
    <w:pPr>
      <w:spacing w:after="180"/>
    </w:pPr>
  </w:style>
  <w:style w:type="paragraph" w:customStyle="1" w:styleId="B4">
    <w:name w:val="B4"/>
    <w:basedOn w:val="List4"/>
    <w:rsid w:val="003B3966"/>
    <w:pPr>
      <w:spacing w:after="180"/>
    </w:pPr>
  </w:style>
  <w:style w:type="paragraph" w:customStyle="1" w:styleId="Proposal">
    <w:name w:val="Proposal"/>
    <w:basedOn w:val="Normal"/>
    <w:qFormat/>
    <w:rsid w:val="003B3966"/>
    <w:pPr>
      <w:numPr>
        <w:numId w:val="3"/>
      </w:numPr>
      <w:tabs>
        <w:tab w:val="clear" w:pos="1304"/>
        <w:tab w:val="left" w:pos="1701"/>
      </w:tabs>
      <w:ind w:left="1701" w:hanging="1701"/>
    </w:pPr>
    <w:rPr>
      <w:b/>
      <w:bCs/>
    </w:rPr>
  </w:style>
  <w:style w:type="character" w:customStyle="1" w:styleId="BodyTextChar">
    <w:name w:val="Body Text Char"/>
    <w:link w:val="BodyText"/>
    <w:rsid w:val="003B3966"/>
    <w:rPr>
      <w:rFonts w:ascii="Times New Roman" w:hAnsi="Times New Roman"/>
      <w:lang w:val="en-GB" w:eastAsia="zh-CN"/>
    </w:rPr>
  </w:style>
  <w:style w:type="paragraph" w:customStyle="1" w:styleId="B5">
    <w:name w:val="B5"/>
    <w:basedOn w:val="List5"/>
    <w:rsid w:val="003B3966"/>
    <w:pPr>
      <w:spacing w:after="180"/>
    </w:pPr>
  </w:style>
  <w:style w:type="paragraph" w:customStyle="1" w:styleId="EX">
    <w:name w:val="EX"/>
    <w:basedOn w:val="Normal"/>
    <w:rsid w:val="003B3966"/>
    <w:pPr>
      <w:keepLines/>
      <w:spacing w:after="180"/>
      <w:ind w:left="1702" w:hanging="1418"/>
    </w:pPr>
  </w:style>
  <w:style w:type="paragraph" w:customStyle="1" w:styleId="EW">
    <w:name w:val="EW"/>
    <w:basedOn w:val="EX"/>
    <w:rsid w:val="003B3966"/>
    <w:pPr>
      <w:spacing w:after="0"/>
    </w:pPr>
  </w:style>
  <w:style w:type="paragraph" w:customStyle="1" w:styleId="TAL">
    <w:name w:val="TAL"/>
    <w:basedOn w:val="Normal"/>
    <w:rsid w:val="003B3966"/>
    <w:pPr>
      <w:keepNext/>
      <w:keepLines/>
    </w:pPr>
    <w:rPr>
      <w:sz w:val="18"/>
    </w:rPr>
  </w:style>
  <w:style w:type="paragraph" w:customStyle="1" w:styleId="TAC">
    <w:name w:val="TAC"/>
    <w:basedOn w:val="TAL"/>
    <w:rsid w:val="003B3966"/>
    <w:pPr>
      <w:jc w:val="center"/>
    </w:pPr>
  </w:style>
  <w:style w:type="paragraph" w:customStyle="1" w:styleId="TAH">
    <w:name w:val="TAH"/>
    <w:basedOn w:val="TAC"/>
    <w:rsid w:val="003B3966"/>
    <w:rPr>
      <w:b/>
    </w:rPr>
  </w:style>
  <w:style w:type="paragraph" w:customStyle="1" w:styleId="TAN">
    <w:name w:val="TAN"/>
    <w:basedOn w:val="TAL"/>
    <w:rsid w:val="003B3966"/>
    <w:pPr>
      <w:ind w:left="851" w:hanging="851"/>
    </w:pPr>
  </w:style>
  <w:style w:type="paragraph" w:customStyle="1" w:styleId="TAR">
    <w:name w:val="TAR"/>
    <w:basedOn w:val="TAL"/>
    <w:rsid w:val="003B3966"/>
    <w:pPr>
      <w:jc w:val="right"/>
    </w:pPr>
  </w:style>
  <w:style w:type="paragraph" w:customStyle="1" w:styleId="TH">
    <w:name w:val="TH"/>
    <w:basedOn w:val="Normal"/>
    <w:rsid w:val="003B3966"/>
    <w:pPr>
      <w:keepNext/>
      <w:keepLines/>
      <w:spacing w:before="60" w:after="180"/>
      <w:jc w:val="center"/>
    </w:pPr>
    <w:rPr>
      <w:b/>
    </w:rPr>
  </w:style>
  <w:style w:type="paragraph" w:customStyle="1" w:styleId="TF">
    <w:name w:val="TF"/>
    <w:basedOn w:val="TH"/>
    <w:rsid w:val="003B3966"/>
    <w:pPr>
      <w:keepNext w:val="0"/>
      <w:spacing w:before="0" w:after="240"/>
    </w:pPr>
  </w:style>
  <w:style w:type="paragraph" w:customStyle="1" w:styleId="TT">
    <w:name w:val="TT"/>
    <w:basedOn w:val="Heading1"/>
    <w:next w:val="Normal"/>
    <w:rsid w:val="003B3966"/>
    <w:pPr>
      <w:numPr>
        <w:numId w:val="0"/>
      </w:numPr>
      <w:ind w:left="1134" w:hanging="1134"/>
      <w:outlineLvl w:val="9"/>
    </w:pPr>
    <w:rPr>
      <w:rFonts w:cs="Times New Roman"/>
      <w:szCs w:val="20"/>
      <w:lang w:eastAsia="en-US"/>
    </w:rPr>
  </w:style>
  <w:style w:type="paragraph" w:customStyle="1" w:styleId="ZA">
    <w:name w:val="ZA"/>
    <w:rsid w:val="003B39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39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39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39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3966"/>
  </w:style>
  <w:style w:type="paragraph" w:customStyle="1" w:styleId="ZH">
    <w:name w:val="ZH"/>
    <w:rsid w:val="003B39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39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3966"/>
    <w:pPr>
      <w:framePr w:hRule="auto" w:wrap="notBeside" w:y="852"/>
    </w:pPr>
    <w:rPr>
      <w:i w:val="0"/>
      <w:sz w:val="40"/>
    </w:rPr>
  </w:style>
  <w:style w:type="paragraph" w:customStyle="1" w:styleId="ZU">
    <w:name w:val="ZU"/>
    <w:rsid w:val="003B39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3966"/>
    <w:pPr>
      <w:framePr w:wrap="notBeside" w:y="16161"/>
    </w:pPr>
  </w:style>
  <w:style w:type="paragraph" w:customStyle="1" w:styleId="FP">
    <w:name w:val="FP"/>
    <w:basedOn w:val="Normal"/>
    <w:rsid w:val="003B3966"/>
  </w:style>
  <w:style w:type="paragraph" w:customStyle="1" w:styleId="Observation">
    <w:name w:val="Observation"/>
    <w:basedOn w:val="Proposal"/>
    <w:qFormat/>
    <w:rsid w:val="003B3966"/>
    <w:pPr>
      <w:numPr>
        <w:numId w:val="13"/>
      </w:numPr>
      <w:ind w:left="1701" w:hanging="1701"/>
    </w:pPr>
  </w:style>
  <w:style w:type="paragraph" w:styleId="TableofFigures">
    <w:name w:val="table of figures"/>
    <w:basedOn w:val="Normal"/>
    <w:next w:val="Normal"/>
    <w:uiPriority w:val="99"/>
    <w:rsid w:val="003B3966"/>
    <w:pPr>
      <w:ind w:left="1418" w:hanging="1418"/>
    </w:pPr>
    <w:rPr>
      <w:b/>
    </w:rPr>
  </w:style>
  <w:style w:type="paragraph" w:styleId="Index4">
    <w:name w:val="index 4"/>
    <w:basedOn w:val="Normal"/>
    <w:next w:val="Normal"/>
    <w:autoRedefine/>
    <w:rsid w:val="003B3966"/>
    <w:pPr>
      <w:ind w:left="800" w:hanging="200"/>
    </w:pPr>
  </w:style>
  <w:style w:type="paragraph" w:styleId="ListParagraph">
    <w:name w:val="List Paragraph"/>
    <w:aliases w:val="- Bullets,목록 단락,リスト段落,列出段落,?? ??,?????,????"/>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ReferenceChar">
    <w:name w:val="Reference Char"/>
    <w:link w:val="Reference"/>
    <w:rsid w:val="00193AB7"/>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852687">
      <w:bodyDiv w:val="1"/>
      <w:marLeft w:val="0"/>
      <w:marRight w:val="0"/>
      <w:marTop w:val="0"/>
      <w:marBottom w:val="0"/>
      <w:divBdr>
        <w:top w:val="none" w:sz="0" w:space="0" w:color="auto"/>
        <w:left w:val="none" w:sz="0" w:space="0" w:color="auto"/>
        <w:bottom w:val="none" w:sz="0" w:space="0" w:color="auto"/>
        <w:right w:val="none" w:sz="0" w:space="0" w:color="auto"/>
      </w:divBdr>
    </w:div>
    <w:div w:id="671757208">
      <w:bodyDiv w:val="1"/>
      <w:marLeft w:val="0"/>
      <w:marRight w:val="0"/>
      <w:marTop w:val="0"/>
      <w:marBottom w:val="0"/>
      <w:divBdr>
        <w:top w:val="none" w:sz="0" w:space="0" w:color="auto"/>
        <w:left w:val="none" w:sz="0" w:space="0" w:color="auto"/>
        <w:bottom w:val="none" w:sz="0" w:space="0" w:color="auto"/>
        <w:right w:val="none" w:sz="0" w:space="0" w:color="auto"/>
      </w:divBdr>
    </w:div>
    <w:div w:id="1107778194">
      <w:bodyDiv w:val="1"/>
      <w:marLeft w:val="0"/>
      <w:marRight w:val="0"/>
      <w:marTop w:val="0"/>
      <w:marBottom w:val="0"/>
      <w:divBdr>
        <w:top w:val="none" w:sz="0" w:space="0" w:color="auto"/>
        <w:left w:val="none" w:sz="0" w:space="0" w:color="auto"/>
        <w:bottom w:val="none" w:sz="0" w:space="0" w:color="auto"/>
        <w:right w:val="none" w:sz="0" w:space="0" w:color="auto"/>
      </w:divBdr>
      <w:divsChild>
        <w:div w:id="416633190">
          <w:marLeft w:val="360"/>
          <w:marRight w:val="0"/>
          <w:marTop w:val="200"/>
          <w:marBottom w:val="0"/>
          <w:divBdr>
            <w:top w:val="none" w:sz="0" w:space="0" w:color="auto"/>
            <w:left w:val="none" w:sz="0" w:space="0" w:color="auto"/>
            <w:bottom w:val="none" w:sz="0" w:space="0" w:color="auto"/>
            <w:right w:val="none" w:sz="0" w:space="0" w:color="auto"/>
          </w:divBdr>
        </w:div>
        <w:div w:id="137431223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87311-8D3F-4AEA-B511-EF0FE113D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1650</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2018-04-06T18:05:00Z</dcterms:created>
  <dcterms:modified xsi:type="dcterms:W3CDTF">2018-04-06T18:06:00Z</dcterms:modified>
</cp:coreProperties>
</file>